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fontTable.xml" ContentType="application/vnd.openxmlformats-officedocument.wordprocessingml.fontTable+xml"/>
  <Default Extension="rels" ContentType="application/vnd.openxmlformats-package.relationship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theme/theme1.xml" ContentType="application/vnd.openxmlformats-officedocument.theme+xml"/>
  <Default Extension="jpeg" ContentType="image/jpeg"/>
  <Default Extension="pdf" ContentType="application/pdf"/>
  <Default Extension="png" ContentType="image/png"/>
  <Override PartName="/word/endnotes.xml" ContentType="application/vnd.openxmlformats-officedocument.wordprocessingml.endnotes+xml"/>
  <Override PartName="/word/charts/chart2.xml" ContentType="application/vnd.openxmlformats-officedocument.drawingml.chart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8A4EB2" w:rsidRDefault="00B2298C" w:rsidP="008A4EB2">
      <w:pPr>
        <w:spacing w:line="360" w:lineRule="auto"/>
        <w:rPr>
          <w:rFonts w:ascii="Arial" w:hAnsi="Arial"/>
          <w:color w:val="000080"/>
          <w:sz w:val="32"/>
        </w:rPr>
      </w:pPr>
      <w:r w:rsidRPr="00B2298C"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7" type="#_x0000_t202" style="position:absolute;margin-left:-40.95pt;margin-top:-363.2pt;width:522pt;height:90pt;z-index:251658240" filled="f" stroked="f">
            <v:textbox style="mso-next-textbox:#_x0000_s1028">
              <w:txbxContent>
                <w:p w:rsidR="001A3989" w:rsidRDefault="008D1DA0">
                  <w:pPr>
                    <w:rPr>
                      <w:rFonts w:asciiTheme="majorHAnsi" w:hAnsiTheme="majorHAnsi"/>
                      <w:color w:val="333399"/>
                      <w:sz w:val="44"/>
                    </w:rPr>
                  </w:pPr>
                  <w:r>
                    <w:rPr>
                      <w:rFonts w:asciiTheme="majorHAnsi" w:hAnsiTheme="majorHAnsi"/>
                      <w:color w:val="333399"/>
                      <w:sz w:val="44"/>
                    </w:rPr>
                    <w:t>T-Fusion™</w:t>
                  </w:r>
                </w:p>
                <w:p w:rsidR="001A3989" w:rsidRDefault="00FC2009">
                  <w:pPr>
                    <w:rPr>
                      <w:rFonts w:asciiTheme="majorHAnsi" w:hAnsiTheme="majorHAnsi"/>
                      <w:color w:val="333399"/>
                      <w:sz w:val="44"/>
                    </w:rPr>
                  </w:pPr>
                </w:p>
                <w:p w:rsidR="001A3989" w:rsidRPr="00807455" w:rsidRDefault="008D1DA0">
                  <w:pPr>
                    <w:rPr>
                      <w:rFonts w:asciiTheme="majorHAnsi" w:hAnsiTheme="majorHAnsi"/>
                      <w:color w:val="333399"/>
                      <w:sz w:val="44"/>
                    </w:rPr>
                  </w:pPr>
                  <w:r>
                    <w:rPr>
                      <w:rFonts w:asciiTheme="majorHAnsi" w:hAnsiTheme="majorHAnsi"/>
                      <w:color w:val="333399"/>
                      <w:sz w:val="44"/>
                    </w:rPr>
                    <w:t>Platform for Oral Delivery of Recombinant Proteins</w:t>
                  </w:r>
                </w:p>
              </w:txbxContent>
            </v:textbox>
          </v:shape>
        </w:pict>
      </w:r>
      <w:r w:rsidRPr="00B2298C">
        <w:rPr>
          <w:noProof/>
        </w:rPr>
        <w:pict>
          <v:shape id="_x0000_s1028" type="#_x0000_t202" style="position:absolute;margin-left:427.05pt;margin-top:351.2pt;width:90pt;height:9pt;z-index:251661312;mso-wrap-edited:f" wrapcoords="0 0 21600 0 21600 21600 0 21600 0 0" filled="f" stroked="f">
            <v:fill o:detectmouseclick="t"/>
            <v:textbox inset=",7.2pt,,7.2pt">
              <w:txbxContent/>
            </v:textbox>
            <w10:wrap type="tight"/>
          </v:shape>
        </w:pict>
      </w:r>
      <w:r w:rsidRPr="00B2298C">
        <w:pict>
          <v:shape id="_x0000_s1026" type="#_x0000_t202" style="position:absolute;margin-left:-52.75pt;margin-top:-72.75pt;width:612pt;height:741.2pt;z-index:251657216" stroked="f">
            <v:textbox style="mso-next-textbox:#_x0000_s1026" inset="0,0,0,0">
              <w:txbxContent>
                <w:p w:rsidR="001A3989" w:rsidRPr="00406348" w:rsidRDefault="008D1DA0" w:rsidP="008A4EB2">
                  <w:pPr>
                    <w:spacing w:line="360" w:lineRule="auto"/>
                    <w:rPr>
                      <w:rFonts w:ascii="Arial" w:hAnsi="Arial"/>
                      <w:color w:val="000080"/>
                      <w:sz w:val="32"/>
                    </w:rPr>
                  </w:pPr>
                  <w:r>
                    <w:rPr>
                      <w:rFonts w:ascii="Arial" w:hAnsi="Arial"/>
                      <w:noProof/>
                      <w:color w:val="000080"/>
                      <w:sz w:val="32"/>
                    </w:rPr>
                    <w:drawing>
                      <wp:inline distT="0" distB="0" distL="0" distR="0">
                        <wp:extent cx="7772400" cy="8981440"/>
                        <wp:effectExtent l="25400" t="0" r="0" b="0"/>
                        <wp:docPr id="3" name="Picture 3" descr="top_full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top_full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72400" cy="89814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A3989" w:rsidRDefault="00FC2009"/>
              </w:txbxContent>
            </v:textbox>
            <w10:wrap type="square"/>
          </v:shape>
        </w:pict>
      </w:r>
    </w:p>
    <w:p w:rsidR="008A4EB2" w:rsidRDefault="008D1DA0" w:rsidP="008A4EB2">
      <w:pPr>
        <w:jc w:val="both"/>
        <w:rPr>
          <w:rFonts w:ascii="Arial" w:hAnsi="Arial"/>
          <w:sz w:val="22"/>
        </w:rPr>
      </w:pPr>
      <w:r w:rsidRPr="00540B5F">
        <w:rPr>
          <w:rFonts w:asciiTheme="majorHAnsi" w:hAnsiTheme="majorHAnsi"/>
          <w:b/>
          <w:caps/>
          <w:sz w:val="22"/>
          <w:u w:val="single"/>
        </w:rPr>
        <w:t>Overview</w:t>
      </w:r>
    </w:p>
    <w:p w:rsidR="008A4EB2" w:rsidRDefault="00FC2009" w:rsidP="00243582">
      <w:pPr>
        <w:jc w:val="both"/>
        <w:rPr>
          <w:rFonts w:asciiTheme="majorHAnsi" w:hAnsiTheme="majorHAnsi"/>
          <w:sz w:val="22"/>
          <w:szCs w:val="22"/>
        </w:rPr>
      </w:pPr>
    </w:p>
    <w:p w:rsidR="00F74468" w:rsidRDefault="008D1DA0" w:rsidP="008A4EB2">
      <w:pPr>
        <w:ind w:firstLine="720"/>
        <w:jc w:val="both"/>
        <w:rPr>
          <w:rFonts w:asciiTheme="majorHAnsi" w:hAnsiTheme="majorHAnsi"/>
          <w:sz w:val="22"/>
          <w:szCs w:val="22"/>
        </w:rPr>
      </w:pPr>
      <w:r w:rsidRPr="00745C0A">
        <w:rPr>
          <w:rFonts w:asciiTheme="majorHAnsi" w:hAnsiTheme="majorHAnsi"/>
          <w:sz w:val="22"/>
          <w:szCs w:val="22"/>
        </w:rPr>
        <w:t xml:space="preserve">Recombinant protein and peptide pharmaceuticals </w:t>
      </w:r>
      <w:r>
        <w:rPr>
          <w:rFonts w:asciiTheme="majorHAnsi" w:hAnsiTheme="majorHAnsi"/>
          <w:sz w:val="22"/>
          <w:szCs w:val="22"/>
        </w:rPr>
        <w:t xml:space="preserve">are </w:t>
      </w:r>
      <w:r w:rsidRPr="00745C0A">
        <w:rPr>
          <w:rFonts w:asciiTheme="majorHAnsi" w:hAnsiTheme="majorHAnsi"/>
          <w:sz w:val="22"/>
          <w:szCs w:val="22"/>
        </w:rPr>
        <w:t>main</w:t>
      </w:r>
      <w:r>
        <w:rPr>
          <w:rFonts w:asciiTheme="majorHAnsi" w:hAnsiTheme="majorHAnsi"/>
          <w:sz w:val="22"/>
          <w:szCs w:val="22"/>
        </w:rPr>
        <w:t>stream</w:t>
      </w:r>
      <w:r w:rsidRPr="00745C0A">
        <w:rPr>
          <w:rFonts w:asciiTheme="majorHAnsi" w:hAnsiTheme="majorHAnsi"/>
          <w:sz w:val="22"/>
          <w:szCs w:val="22"/>
        </w:rPr>
        <w:t xml:space="preserve"> </w:t>
      </w:r>
      <w:r>
        <w:rPr>
          <w:rFonts w:asciiTheme="majorHAnsi" w:hAnsiTheme="majorHAnsi"/>
          <w:sz w:val="22"/>
          <w:szCs w:val="22"/>
        </w:rPr>
        <w:t xml:space="preserve">products </w:t>
      </w:r>
      <w:r w:rsidRPr="00745C0A">
        <w:rPr>
          <w:rFonts w:asciiTheme="majorHAnsi" w:hAnsiTheme="majorHAnsi"/>
          <w:sz w:val="22"/>
          <w:szCs w:val="22"/>
        </w:rPr>
        <w:t>in the pharmaceutical industry</w:t>
      </w:r>
      <w:r>
        <w:rPr>
          <w:rFonts w:asciiTheme="majorHAnsi" w:hAnsiTheme="majorHAnsi"/>
          <w:sz w:val="22"/>
          <w:szCs w:val="22"/>
        </w:rPr>
        <w:t xml:space="preserve">.  </w:t>
      </w:r>
      <w:r w:rsidRPr="00745C0A">
        <w:rPr>
          <w:rFonts w:asciiTheme="majorHAnsi" w:hAnsiTheme="majorHAnsi"/>
          <w:sz w:val="22"/>
          <w:szCs w:val="22"/>
        </w:rPr>
        <w:t>Patients take these drugs</w:t>
      </w:r>
      <w:r>
        <w:rPr>
          <w:rFonts w:asciiTheme="majorHAnsi" w:hAnsiTheme="majorHAnsi"/>
          <w:sz w:val="22"/>
          <w:szCs w:val="22"/>
        </w:rPr>
        <w:t xml:space="preserve"> </w:t>
      </w:r>
      <w:r w:rsidRPr="00745C0A">
        <w:rPr>
          <w:rFonts w:asciiTheme="majorHAnsi" w:hAnsiTheme="majorHAnsi"/>
          <w:sz w:val="22"/>
          <w:szCs w:val="22"/>
        </w:rPr>
        <w:t xml:space="preserve">by injection, as </w:t>
      </w:r>
      <w:r>
        <w:rPr>
          <w:rFonts w:asciiTheme="majorHAnsi" w:hAnsiTheme="majorHAnsi"/>
          <w:sz w:val="22"/>
          <w:szCs w:val="22"/>
        </w:rPr>
        <w:t xml:space="preserve">oral formulations of recombinant protein and peptide drugs are not </w:t>
      </w:r>
      <w:r w:rsidRPr="00745C0A">
        <w:rPr>
          <w:rFonts w:asciiTheme="majorHAnsi" w:hAnsiTheme="majorHAnsi"/>
          <w:sz w:val="22"/>
          <w:szCs w:val="22"/>
        </w:rPr>
        <w:t xml:space="preserve">commercially available.  Despite a demonstrated need for protein and peptide drugs, doctors and patients can be reluctant to use such medications because of the </w:t>
      </w:r>
      <w:r>
        <w:rPr>
          <w:rFonts w:asciiTheme="majorHAnsi" w:hAnsiTheme="majorHAnsi"/>
          <w:sz w:val="22"/>
          <w:szCs w:val="22"/>
        </w:rPr>
        <w:t>requirement</w:t>
      </w:r>
      <w:r w:rsidRPr="00745C0A">
        <w:rPr>
          <w:rFonts w:asciiTheme="majorHAnsi" w:hAnsiTheme="majorHAnsi"/>
          <w:sz w:val="22"/>
          <w:szCs w:val="22"/>
        </w:rPr>
        <w:t xml:space="preserve"> </w:t>
      </w:r>
      <w:r>
        <w:rPr>
          <w:rFonts w:asciiTheme="majorHAnsi" w:hAnsiTheme="majorHAnsi"/>
          <w:sz w:val="22"/>
          <w:szCs w:val="22"/>
        </w:rPr>
        <w:t xml:space="preserve">for </w:t>
      </w:r>
      <w:r w:rsidRPr="00745C0A">
        <w:rPr>
          <w:rFonts w:asciiTheme="majorHAnsi" w:hAnsiTheme="majorHAnsi"/>
          <w:sz w:val="22"/>
          <w:szCs w:val="22"/>
        </w:rPr>
        <w:t xml:space="preserve">frequent </w:t>
      </w:r>
      <w:r>
        <w:rPr>
          <w:rFonts w:asciiTheme="majorHAnsi" w:hAnsiTheme="majorHAnsi"/>
          <w:sz w:val="22"/>
          <w:szCs w:val="22"/>
        </w:rPr>
        <w:t xml:space="preserve">and </w:t>
      </w:r>
      <w:r w:rsidRPr="00745C0A">
        <w:rPr>
          <w:rFonts w:asciiTheme="majorHAnsi" w:hAnsiTheme="majorHAnsi"/>
          <w:sz w:val="22"/>
          <w:szCs w:val="22"/>
        </w:rPr>
        <w:t>repeat</w:t>
      </w:r>
      <w:r>
        <w:rPr>
          <w:rFonts w:asciiTheme="majorHAnsi" w:hAnsiTheme="majorHAnsi"/>
          <w:sz w:val="22"/>
          <w:szCs w:val="22"/>
        </w:rPr>
        <w:t>ed</w:t>
      </w:r>
      <w:r w:rsidRPr="00745C0A">
        <w:rPr>
          <w:rFonts w:asciiTheme="majorHAnsi" w:hAnsiTheme="majorHAnsi"/>
          <w:sz w:val="22"/>
          <w:szCs w:val="22"/>
        </w:rPr>
        <w:t xml:space="preserve"> injections</w:t>
      </w:r>
      <w:r>
        <w:rPr>
          <w:rFonts w:asciiTheme="majorHAnsi" w:hAnsiTheme="majorHAnsi"/>
          <w:sz w:val="22"/>
          <w:szCs w:val="22"/>
        </w:rPr>
        <w:t xml:space="preserve">.  </w:t>
      </w:r>
    </w:p>
    <w:p w:rsidR="00F74468" w:rsidRDefault="00FC2009" w:rsidP="008A4EB2">
      <w:pPr>
        <w:ind w:firstLine="720"/>
        <w:jc w:val="both"/>
        <w:rPr>
          <w:rFonts w:asciiTheme="majorHAnsi" w:hAnsiTheme="majorHAnsi"/>
          <w:sz w:val="22"/>
          <w:szCs w:val="22"/>
        </w:rPr>
      </w:pPr>
    </w:p>
    <w:p w:rsidR="008A4EB2" w:rsidRDefault="008D1DA0" w:rsidP="008A4EB2">
      <w:pPr>
        <w:ind w:firstLine="720"/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T-Fusion™ is a receptor mediated oral absorption technology utilizing a</w:t>
      </w:r>
      <w:r w:rsidRPr="00686F37">
        <w:rPr>
          <w:rFonts w:asciiTheme="majorHAnsi" w:hAnsiTheme="majorHAnsi"/>
          <w:sz w:val="22"/>
          <w:szCs w:val="22"/>
        </w:rPr>
        <w:t xml:space="preserve"> natural </w:t>
      </w:r>
      <w:proofErr w:type="spellStart"/>
      <w:r w:rsidRPr="00686F37">
        <w:rPr>
          <w:rFonts w:asciiTheme="majorHAnsi" w:hAnsiTheme="majorHAnsi"/>
          <w:sz w:val="22"/>
          <w:szCs w:val="22"/>
        </w:rPr>
        <w:t>transcellular</w:t>
      </w:r>
      <w:proofErr w:type="spellEnd"/>
      <w:r w:rsidRPr="00686F37">
        <w:rPr>
          <w:rFonts w:asciiTheme="majorHAnsi" w:hAnsiTheme="majorHAnsi"/>
          <w:sz w:val="22"/>
          <w:szCs w:val="22"/>
        </w:rPr>
        <w:t xml:space="preserve"> pathway </w:t>
      </w:r>
      <w:r>
        <w:rPr>
          <w:rFonts w:asciiTheme="majorHAnsi" w:hAnsiTheme="majorHAnsi"/>
          <w:sz w:val="22"/>
          <w:szCs w:val="22"/>
        </w:rPr>
        <w:t xml:space="preserve">that has been broadly shown to enable </w:t>
      </w:r>
      <w:r w:rsidRPr="00686F37">
        <w:rPr>
          <w:rFonts w:asciiTheme="majorHAnsi" w:hAnsiTheme="majorHAnsi"/>
          <w:sz w:val="22"/>
          <w:szCs w:val="22"/>
        </w:rPr>
        <w:t xml:space="preserve">pulmonary and oral delivery of large protein-based therapeutic molecules in animals.  Absorption </w:t>
      </w:r>
      <w:r>
        <w:rPr>
          <w:rFonts w:asciiTheme="majorHAnsi" w:hAnsiTheme="majorHAnsi"/>
          <w:sz w:val="22"/>
          <w:szCs w:val="22"/>
        </w:rPr>
        <w:t xml:space="preserve">of proteins via </w:t>
      </w:r>
      <w:r w:rsidRPr="00686F37">
        <w:rPr>
          <w:rFonts w:asciiTheme="majorHAnsi" w:hAnsiTheme="majorHAnsi"/>
          <w:sz w:val="22"/>
          <w:szCs w:val="22"/>
        </w:rPr>
        <w:t xml:space="preserve">the </w:t>
      </w:r>
      <w:proofErr w:type="spellStart"/>
      <w:r w:rsidRPr="00686F37">
        <w:rPr>
          <w:rFonts w:asciiTheme="majorHAnsi" w:hAnsiTheme="majorHAnsi"/>
          <w:sz w:val="22"/>
          <w:szCs w:val="22"/>
        </w:rPr>
        <w:t>transferrin</w:t>
      </w:r>
      <w:proofErr w:type="spellEnd"/>
      <w:r w:rsidRPr="00686F37">
        <w:rPr>
          <w:rFonts w:asciiTheme="majorHAnsi" w:hAnsiTheme="majorHAnsi"/>
          <w:sz w:val="22"/>
          <w:szCs w:val="22"/>
        </w:rPr>
        <w:t xml:space="preserve"> receptor does not alter cellular processes and is not detrimental to </w:t>
      </w:r>
      <w:r>
        <w:rPr>
          <w:rFonts w:asciiTheme="majorHAnsi" w:hAnsiTheme="majorHAnsi"/>
          <w:sz w:val="22"/>
          <w:szCs w:val="22"/>
        </w:rPr>
        <w:t xml:space="preserve">the </w:t>
      </w:r>
      <w:r w:rsidRPr="00686F37">
        <w:rPr>
          <w:rFonts w:asciiTheme="majorHAnsi" w:hAnsiTheme="majorHAnsi"/>
          <w:sz w:val="22"/>
          <w:szCs w:val="22"/>
        </w:rPr>
        <w:t xml:space="preserve">membrane integrity </w:t>
      </w:r>
      <w:r>
        <w:rPr>
          <w:rFonts w:asciiTheme="majorHAnsi" w:hAnsiTheme="majorHAnsi"/>
          <w:sz w:val="22"/>
          <w:szCs w:val="22"/>
        </w:rPr>
        <w:t xml:space="preserve">of the </w:t>
      </w:r>
      <w:r w:rsidRPr="00686F37">
        <w:rPr>
          <w:rFonts w:asciiTheme="majorHAnsi" w:hAnsiTheme="majorHAnsi"/>
          <w:sz w:val="22"/>
          <w:szCs w:val="22"/>
        </w:rPr>
        <w:t xml:space="preserve">gastrointestinal tract.  </w:t>
      </w:r>
      <w:proofErr w:type="spellStart"/>
      <w:r>
        <w:rPr>
          <w:rFonts w:asciiTheme="majorHAnsi" w:hAnsiTheme="majorHAnsi"/>
          <w:sz w:val="22"/>
          <w:szCs w:val="22"/>
        </w:rPr>
        <w:t>Transferrin</w:t>
      </w:r>
      <w:proofErr w:type="spellEnd"/>
      <w:r>
        <w:rPr>
          <w:rFonts w:asciiTheme="majorHAnsi" w:hAnsiTheme="majorHAnsi"/>
          <w:sz w:val="22"/>
          <w:szCs w:val="22"/>
        </w:rPr>
        <w:t xml:space="preserve"> </w:t>
      </w:r>
      <w:r w:rsidRPr="00686F37">
        <w:rPr>
          <w:rFonts w:asciiTheme="majorHAnsi" w:hAnsiTheme="majorHAnsi"/>
          <w:sz w:val="22"/>
          <w:szCs w:val="22"/>
        </w:rPr>
        <w:t>is resistan</w:t>
      </w:r>
      <w:r>
        <w:rPr>
          <w:rFonts w:asciiTheme="majorHAnsi" w:hAnsiTheme="majorHAnsi"/>
          <w:sz w:val="22"/>
          <w:szCs w:val="22"/>
        </w:rPr>
        <w:t>t to gastrointestinal digestion</w:t>
      </w:r>
      <w:r w:rsidRPr="00686F37">
        <w:rPr>
          <w:rFonts w:asciiTheme="majorHAnsi" w:hAnsiTheme="majorHAnsi"/>
          <w:sz w:val="22"/>
          <w:szCs w:val="22"/>
        </w:rPr>
        <w:t xml:space="preserve"> </w:t>
      </w:r>
      <w:r>
        <w:rPr>
          <w:rFonts w:asciiTheme="majorHAnsi" w:hAnsiTheme="majorHAnsi"/>
          <w:sz w:val="22"/>
          <w:szCs w:val="22"/>
        </w:rPr>
        <w:t xml:space="preserve">and its </w:t>
      </w:r>
      <w:r w:rsidRPr="00686F37">
        <w:rPr>
          <w:rFonts w:asciiTheme="majorHAnsi" w:hAnsiTheme="majorHAnsi"/>
          <w:sz w:val="22"/>
          <w:szCs w:val="22"/>
        </w:rPr>
        <w:t>receptors are abundantly expressed in the human GI tract</w:t>
      </w:r>
      <w:r>
        <w:rPr>
          <w:rFonts w:asciiTheme="majorHAnsi" w:hAnsiTheme="majorHAnsi"/>
          <w:sz w:val="22"/>
          <w:szCs w:val="22"/>
        </w:rPr>
        <w:t xml:space="preserve">.  </w:t>
      </w:r>
    </w:p>
    <w:p w:rsidR="00F74468" w:rsidRDefault="00FC2009" w:rsidP="008A4EB2">
      <w:pPr>
        <w:ind w:firstLine="720"/>
        <w:jc w:val="both"/>
        <w:rPr>
          <w:rFonts w:asciiTheme="majorHAnsi" w:hAnsiTheme="majorHAnsi"/>
          <w:sz w:val="22"/>
          <w:szCs w:val="22"/>
        </w:rPr>
      </w:pPr>
    </w:p>
    <w:p w:rsidR="00F74468" w:rsidRPr="00686F37" w:rsidRDefault="008D1DA0" w:rsidP="00F74468">
      <w:pPr>
        <w:ind w:firstLine="720"/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B</w:t>
      </w:r>
      <w:r w:rsidRPr="00745C0A">
        <w:rPr>
          <w:rFonts w:asciiTheme="majorHAnsi" w:hAnsiTheme="majorHAnsi"/>
          <w:sz w:val="22"/>
          <w:szCs w:val="22"/>
        </w:rPr>
        <w:t xml:space="preserve">y enabling protein and peptide therapeutics to be administered orally, </w:t>
      </w:r>
      <w:r>
        <w:rPr>
          <w:rFonts w:asciiTheme="majorHAnsi" w:hAnsiTheme="majorHAnsi"/>
          <w:sz w:val="22"/>
          <w:szCs w:val="22"/>
        </w:rPr>
        <w:t xml:space="preserve">T-Fusion™ technology will simplify the </w:t>
      </w:r>
      <w:r w:rsidRPr="00745C0A">
        <w:rPr>
          <w:rFonts w:asciiTheme="majorHAnsi" w:hAnsiTheme="majorHAnsi"/>
          <w:sz w:val="22"/>
          <w:szCs w:val="22"/>
        </w:rPr>
        <w:t>administration of these drugs, generate wider patient use and acceptance</w:t>
      </w:r>
      <w:r>
        <w:rPr>
          <w:rFonts w:asciiTheme="majorHAnsi" w:hAnsiTheme="majorHAnsi"/>
          <w:sz w:val="22"/>
          <w:szCs w:val="22"/>
        </w:rPr>
        <w:t>, and provide s</w:t>
      </w:r>
      <w:r w:rsidRPr="00745C0A">
        <w:rPr>
          <w:rFonts w:asciiTheme="majorHAnsi" w:hAnsiTheme="majorHAnsi"/>
          <w:sz w:val="22"/>
          <w:szCs w:val="22"/>
        </w:rPr>
        <w:t xml:space="preserve">ubstantial cost savings </w:t>
      </w:r>
      <w:r>
        <w:rPr>
          <w:rFonts w:asciiTheme="majorHAnsi" w:hAnsiTheme="majorHAnsi"/>
          <w:sz w:val="22"/>
          <w:szCs w:val="22"/>
        </w:rPr>
        <w:t>through</w:t>
      </w:r>
      <w:r w:rsidRPr="00745C0A">
        <w:rPr>
          <w:rFonts w:asciiTheme="majorHAnsi" w:hAnsiTheme="majorHAnsi"/>
          <w:sz w:val="22"/>
          <w:szCs w:val="22"/>
        </w:rPr>
        <w:t xml:space="preserve"> eliminating </w:t>
      </w:r>
      <w:r>
        <w:rPr>
          <w:rFonts w:asciiTheme="majorHAnsi" w:hAnsiTheme="majorHAnsi"/>
          <w:sz w:val="22"/>
          <w:szCs w:val="22"/>
        </w:rPr>
        <w:t xml:space="preserve">the health care </w:t>
      </w:r>
      <w:r w:rsidRPr="00745C0A">
        <w:rPr>
          <w:rFonts w:asciiTheme="majorHAnsi" w:hAnsiTheme="majorHAnsi"/>
          <w:sz w:val="22"/>
          <w:szCs w:val="22"/>
        </w:rPr>
        <w:t xml:space="preserve">costs associated with </w:t>
      </w:r>
      <w:r>
        <w:rPr>
          <w:rFonts w:asciiTheme="majorHAnsi" w:hAnsiTheme="majorHAnsi"/>
          <w:sz w:val="22"/>
          <w:szCs w:val="22"/>
        </w:rPr>
        <w:t>the injection of protein and peptide therapeutics</w:t>
      </w:r>
      <w:r w:rsidRPr="00745C0A">
        <w:rPr>
          <w:rFonts w:asciiTheme="majorHAnsi" w:hAnsiTheme="majorHAnsi"/>
          <w:sz w:val="22"/>
          <w:szCs w:val="22"/>
        </w:rPr>
        <w:t xml:space="preserve">.  </w:t>
      </w:r>
    </w:p>
    <w:p w:rsidR="00343952" w:rsidRDefault="00FC2009" w:rsidP="00F74468">
      <w:pPr>
        <w:ind w:firstLine="720"/>
        <w:jc w:val="both"/>
        <w:rPr>
          <w:rFonts w:asciiTheme="majorHAnsi" w:hAnsiTheme="majorHAnsi"/>
          <w:sz w:val="22"/>
          <w:szCs w:val="22"/>
        </w:rPr>
      </w:pPr>
    </w:p>
    <w:p w:rsidR="008A4EB2" w:rsidRPr="00540B5F" w:rsidRDefault="008D1DA0" w:rsidP="008A4EB2">
      <w:pPr>
        <w:jc w:val="both"/>
        <w:rPr>
          <w:rFonts w:asciiTheme="majorHAnsi" w:hAnsiTheme="majorHAnsi"/>
          <w:caps/>
          <w:sz w:val="22"/>
          <w:u w:val="single"/>
        </w:rPr>
      </w:pPr>
      <w:r>
        <w:rPr>
          <w:rFonts w:asciiTheme="majorHAnsi" w:hAnsiTheme="majorHAnsi"/>
          <w:b/>
          <w:caps/>
          <w:sz w:val="22"/>
          <w:u w:val="single"/>
        </w:rPr>
        <w:t>Oral delivery of therapeutic proteins</w:t>
      </w:r>
    </w:p>
    <w:p w:rsidR="008A4EB2" w:rsidRPr="007F00D7" w:rsidRDefault="00FC2009" w:rsidP="008A4EB2">
      <w:pPr>
        <w:ind w:firstLine="720"/>
        <w:jc w:val="both"/>
        <w:rPr>
          <w:rFonts w:asciiTheme="majorHAnsi" w:hAnsiTheme="majorHAnsi"/>
          <w:sz w:val="22"/>
          <w:szCs w:val="22"/>
        </w:rPr>
      </w:pPr>
    </w:p>
    <w:p w:rsidR="008A4EB2" w:rsidRDefault="008D1DA0" w:rsidP="008A4EB2">
      <w:pPr>
        <w:ind w:firstLine="720"/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E</w:t>
      </w:r>
      <w:r w:rsidRPr="00686F37">
        <w:rPr>
          <w:rFonts w:asciiTheme="majorHAnsi" w:hAnsiTheme="majorHAnsi"/>
          <w:sz w:val="22"/>
          <w:szCs w:val="22"/>
        </w:rPr>
        <w:t xml:space="preserve">arly work </w:t>
      </w:r>
      <w:r>
        <w:rPr>
          <w:rFonts w:asciiTheme="majorHAnsi" w:hAnsiTheme="majorHAnsi"/>
          <w:sz w:val="22"/>
          <w:szCs w:val="22"/>
        </w:rPr>
        <w:t xml:space="preserve">on this technology </w:t>
      </w:r>
      <w:r w:rsidRPr="00686F37">
        <w:rPr>
          <w:rFonts w:asciiTheme="majorHAnsi" w:hAnsiTheme="majorHAnsi"/>
          <w:sz w:val="22"/>
          <w:szCs w:val="22"/>
        </w:rPr>
        <w:t xml:space="preserve">entailed chemical conjugation of </w:t>
      </w:r>
      <w:proofErr w:type="spellStart"/>
      <w:r w:rsidRPr="00686F37">
        <w:rPr>
          <w:rFonts w:asciiTheme="majorHAnsi" w:hAnsiTheme="majorHAnsi"/>
          <w:sz w:val="22"/>
          <w:szCs w:val="22"/>
        </w:rPr>
        <w:t>transferrin</w:t>
      </w:r>
      <w:proofErr w:type="spellEnd"/>
      <w:r w:rsidRPr="00686F37">
        <w:rPr>
          <w:rFonts w:asciiTheme="majorHAnsi" w:hAnsiTheme="majorHAnsi"/>
          <w:sz w:val="22"/>
          <w:szCs w:val="22"/>
        </w:rPr>
        <w:t xml:space="preserve"> to therapeutic protein</w:t>
      </w:r>
      <w:r>
        <w:rPr>
          <w:rFonts w:asciiTheme="majorHAnsi" w:hAnsiTheme="majorHAnsi"/>
          <w:sz w:val="22"/>
          <w:szCs w:val="22"/>
        </w:rPr>
        <w:t>s of interest</w:t>
      </w:r>
      <w:r w:rsidRPr="00686F37">
        <w:rPr>
          <w:rFonts w:asciiTheme="majorHAnsi" w:hAnsiTheme="majorHAnsi"/>
          <w:sz w:val="22"/>
          <w:szCs w:val="22"/>
        </w:rPr>
        <w:t xml:space="preserve">.  </w:t>
      </w:r>
      <w:r>
        <w:rPr>
          <w:rFonts w:asciiTheme="majorHAnsi" w:hAnsiTheme="majorHAnsi"/>
          <w:sz w:val="22"/>
          <w:szCs w:val="22"/>
        </w:rPr>
        <w:t>O</w:t>
      </w:r>
      <w:r w:rsidRPr="00686F37">
        <w:rPr>
          <w:rFonts w:asciiTheme="majorHAnsi" w:hAnsiTheme="majorHAnsi"/>
          <w:sz w:val="22"/>
          <w:szCs w:val="22"/>
        </w:rPr>
        <w:t xml:space="preserve">rally administered </w:t>
      </w:r>
      <w:r>
        <w:rPr>
          <w:rFonts w:asciiTheme="majorHAnsi" w:hAnsiTheme="majorHAnsi"/>
          <w:sz w:val="22"/>
          <w:szCs w:val="22"/>
        </w:rPr>
        <w:t>G-CSF</w:t>
      </w:r>
      <w:r w:rsidRPr="00686F37">
        <w:rPr>
          <w:rFonts w:asciiTheme="majorHAnsi" w:hAnsiTheme="majorHAnsi"/>
          <w:sz w:val="22"/>
          <w:szCs w:val="22"/>
        </w:rPr>
        <w:t>-</w:t>
      </w:r>
      <w:proofErr w:type="spellStart"/>
      <w:r w:rsidRPr="00686F37">
        <w:rPr>
          <w:rFonts w:asciiTheme="majorHAnsi" w:hAnsiTheme="majorHAnsi"/>
          <w:sz w:val="22"/>
          <w:szCs w:val="22"/>
        </w:rPr>
        <w:t>transferrin</w:t>
      </w:r>
      <w:proofErr w:type="spellEnd"/>
      <w:r w:rsidRPr="00686F37">
        <w:rPr>
          <w:rFonts w:asciiTheme="majorHAnsi" w:hAnsiTheme="majorHAnsi"/>
          <w:sz w:val="22"/>
          <w:szCs w:val="22"/>
        </w:rPr>
        <w:t xml:space="preserve"> conjugates were shown to </w:t>
      </w:r>
      <w:r>
        <w:rPr>
          <w:rFonts w:asciiTheme="majorHAnsi" w:hAnsiTheme="majorHAnsi"/>
          <w:sz w:val="22"/>
          <w:szCs w:val="22"/>
        </w:rPr>
        <w:t xml:space="preserve">increase white blood cell counts in rodents.  Similarly, oral </w:t>
      </w:r>
      <w:r w:rsidRPr="00686F37">
        <w:rPr>
          <w:rFonts w:asciiTheme="majorHAnsi" w:hAnsiTheme="majorHAnsi"/>
          <w:sz w:val="22"/>
          <w:szCs w:val="22"/>
        </w:rPr>
        <w:t>insulin-</w:t>
      </w:r>
      <w:proofErr w:type="spellStart"/>
      <w:r w:rsidRPr="00686F37">
        <w:rPr>
          <w:rFonts w:asciiTheme="majorHAnsi" w:hAnsiTheme="majorHAnsi"/>
          <w:sz w:val="22"/>
          <w:szCs w:val="22"/>
        </w:rPr>
        <w:t>transferrin</w:t>
      </w:r>
      <w:proofErr w:type="spellEnd"/>
      <w:r w:rsidRPr="00686F37">
        <w:rPr>
          <w:rFonts w:asciiTheme="majorHAnsi" w:hAnsiTheme="majorHAnsi"/>
          <w:sz w:val="22"/>
          <w:szCs w:val="22"/>
        </w:rPr>
        <w:t xml:space="preserve"> conjugates were shown to lower blood sugar in diabetic rats.  </w:t>
      </w:r>
      <w:r w:rsidRPr="007F00D7">
        <w:rPr>
          <w:rFonts w:asciiTheme="majorHAnsi" w:hAnsiTheme="majorHAnsi"/>
          <w:sz w:val="22"/>
          <w:szCs w:val="22"/>
        </w:rPr>
        <w:t xml:space="preserve">The major obstacle with the chemical conjugation methodology is that the chemically cross-linked products </w:t>
      </w:r>
      <w:r>
        <w:rPr>
          <w:rFonts w:asciiTheme="majorHAnsi" w:hAnsiTheme="majorHAnsi"/>
          <w:sz w:val="22"/>
          <w:szCs w:val="22"/>
        </w:rPr>
        <w:t xml:space="preserve">were poorly defined </w:t>
      </w:r>
      <w:r w:rsidRPr="007F00D7">
        <w:rPr>
          <w:rFonts w:asciiTheme="majorHAnsi" w:hAnsiTheme="majorHAnsi"/>
          <w:sz w:val="22"/>
          <w:szCs w:val="22"/>
        </w:rPr>
        <w:t>heterogeneous mixture</w:t>
      </w:r>
      <w:r>
        <w:rPr>
          <w:rFonts w:asciiTheme="majorHAnsi" w:hAnsiTheme="majorHAnsi"/>
          <w:sz w:val="22"/>
          <w:szCs w:val="22"/>
        </w:rPr>
        <w:t xml:space="preserve">s that </w:t>
      </w:r>
      <w:r w:rsidRPr="007F00D7">
        <w:rPr>
          <w:rFonts w:asciiTheme="majorHAnsi" w:hAnsiTheme="majorHAnsi"/>
          <w:sz w:val="22"/>
          <w:szCs w:val="22"/>
        </w:rPr>
        <w:t>tend</w:t>
      </w:r>
      <w:r>
        <w:rPr>
          <w:rFonts w:asciiTheme="majorHAnsi" w:hAnsiTheme="majorHAnsi"/>
          <w:sz w:val="22"/>
          <w:szCs w:val="22"/>
        </w:rPr>
        <w:t>ed</w:t>
      </w:r>
      <w:r w:rsidRPr="007F00D7">
        <w:rPr>
          <w:rFonts w:asciiTheme="majorHAnsi" w:hAnsiTheme="majorHAnsi"/>
          <w:sz w:val="22"/>
          <w:szCs w:val="22"/>
        </w:rPr>
        <w:t xml:space="preserve"> to </w:t>
      </w:r>
      <w:r>
        <w:rPr>
          <w:rFonts w:asciiTheme="majorHAnsi" w:hAnsiTheme="majorHAnsi"/>
          <w:sz w:val="22"/>
          <w:szCs w:val="22"/>
        </w:rPr>
        <w:t>form</w:t>
      </w:r>
      <w:r w:rsidRPr="007F00D7">
        <w:rPr>
          <w:rFonts w:asciiTheme="majorHAnsi" w:hAnsiTheme="majorHAnsi"/>
          <w:sz w:val="22"/>
          <w:szCs w:val="22"/>
        </w:rPr>
        <w:t xml:space="preserve"> polymeric products.  The high cost of </w:t>
      </w:r>
      <w:r>
        <w:rPr>
          <w:rFonts w:asciiTheme="majorHAnsi" w:hAnsiTheme="majorHAnsi"/>
          <w:sz w:val="22"/>
          <w:szCs w:val="22"/>
        </w:rPr>
        <w:t xml:space="preserve">manufacturing purified </w:t>
      </w:r>
      <w:proofErr w:type="spellStart"/>
      <w:r w:rsidRPr="007F00D7">
        <w:rPr>
          <w:rFonts w:asciiTheme="majorHAnsi" w:hAnsiTheme="majorHAnsi"/>
          <w:sz w:val="22"/>
          <w:szCs w:val="22"/>
        </w:rPr>
        <w:t>transferrin</w:t>
      </w:r>
      <w:proofErr w:type="spellEnd"/>
      <w:r w:rsidRPr="007F00D7">
        <w:rPr>
          <w:rFonts w:asciiTheme="majorHAnsi" w:hAnsiTheme="majorHAnsi"/>
          <w:sz w:val="22"/>
          <w:szCs w:val="22"/>
        </w:rPr>
        <w:t xml:space="preserve"> chemical conjugates </w:t>
      </w:r>
      <w:r>
        <w:rPr>
          <w:rFonts w:asciiTheme="majorHAnsi" w:hAnsiTheme="majorHAnsi"/>
          <w:sz w:val="22"/>
          <w:szCs w:val="22"/>
        </w:rPr>
        <w:t xml:space="preserve">prohibited their development </w:t>
      </w:r>
      <w:r w:rsidRPr="007F00D7">
        <w:rPr>
          <w:rFonts w:asciiTheme="majorHAnsi" w:hAnsiTheme="majorHAnsi"/>
          <w:sz w:val="22"/>
          <w:szCs w:val="22"/>
        </w:rPr>
        <w:t>into c</w:t>
      </w:r>
      <w:r w:rsidRPr="007F00D7" w:rsidDel="00E804BC">
        <w:rPr>
          <w:rFonts w:asciiTheme="majorHAnsi" w:hAnsiTheme="majorHAnsi"/>
          <w:sz w:val="22"/>
          <w:szCs w:val="22"/>
        </w:rPr>
        <w:t xml:space="preserve">ommercially viable </w:t>
      </w:r>
      <w:r w:rsidRPr="007F00D7">
        <w:rPr>
          <w:rFonts w:asciiTheme="majorHAnsi" w:hAnsiTheme="majorHAnsi"/>
          <w:sz w:val="22"/>
          <w:szCs w:val="22"/>
        </w:rPr>
        <w:t xml:space="preserve">drugs. </w:t>
      </w:r>
    </w:p>
    <w:p w:rsidR="008A4EB2" w:rsidRDefault="00FC2009" w:rsidP="008A4EB2">
      <w:pPr>
        <w:ind w:firstLine="720"/>
        <w:jc w:val="both"/>
        <w:rPr>
          <w:rFonts w:asciiTheme="majorHAnsi" w:hAnsiTheme="majorHAnsi"/>
          <w:sz w:val="22"/>
          <w:szCs w:val="22"/>
        </w:rPr>
      </w:pPr>
    </w:p>
    <w:p w:rsidR="008A4EB2" w:rsidRDefault="008D1DA0" w:rsidP="008A4EB2">
      <w:pPr>
        <w:ind w:firstLine="720"/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T-Fusion™ is a platform technology that utilizes </w:t>
      </w:r>
      <w:r w:rsidRPr="007F00D7">
        <w:rPr>
          <w:rFonts w:asciiTheme="majorHAnsi" w:hAnsiTheme="majorHAnsi"/>
          <w:sz w:val="22"/>
          <w:szCs w:val="22"/>
        </w:rPr>
        <w:t xml:space="preserve">recombinant DNA technology to </w:t>
      </w:r>
      <w:r>
        <w:rPr>
          <w:rFonts w:asciiTheme="majorHAnsi" w:hAnsiTheme="majorHAnsi"/>
          <w:sz w:val="22"/>
          <w:szCs w:val="22"/>
        </w:rPr>
        <w:t xml:space="preserve">produce </w:t>
      </w:r>
      <w:r w:rsidRPr="007F00D7">
        <w:rPr>
          <w:rFonts w:asciiTheme="majorHAnsi" w:hAnsiTheme="majorHAnsi"/>
          <w:sz w:val="22"/>
          <w:szCs w:val="22"/>
        </w:rPr>
        <w:t>fusion proteins consist</w:t>
      </w:r>
      <w:r>
        <w:rPr>
          <w:rFonts w:asciiTheme="majorHAnsi" w:hAnsiTheme="majorHAnsi"/>
          <w:sz w:val="22"/>
          <w:szCs w:val="22"/>
        </w:rPr>
        <w:t>ing</w:t>
      </w:r>
      <w:r w:rsidRPr="007F00D7">
        <w:rPr>
          <w:rFonts w:asciiTheme="majorHAnsi" w:hAnsiTheme="majorHAnsi"/>
          <w:sz w:val="22"/>
          <w:szCs w:val="22"/>
        </w:rPr>
        <w:t xml:space="preserve"> of </w:t>
      </w:r>
      <w:r>
        <w:rPr>
          <w:rFonts w:asciiTheme="majorHAnsi" w:hAnsiTheme="majorHAnsi"/>
          <w:sz w:val="22"/>
          <w:szCs w:val="22"/>
        </w:rPr>
        <w:t xml:space="preserve">a </w:t>
      </w:r>
      <w:r w:rsidRPr="007F00D7">
        <w:rPr>
          <w:rFonts w:asciiTheme="majorHAnsi" w:hAnsiTheme="majorHAnsi"/>
          <w:sz w:val="22"/>
          <w:szCs w:val="22"/>
        </w:rPr>
        <w:t xml:space="preserve">therapeutic protein </w:t>
      </w:r>
      <w:r>
        <w:rPr>
          <w:rFonts w:asciiTheme="majorHAnsi" w:hAnsiTheme="majorHAnsi"/>
          <w:sz w:val="22"/>
          <w:szCs w:val="22"/>
        </w:rPr>
        <w:t xml:space="preserve">coupled to a </w:t>
      </w:r>
      <w:proofErr w:type="spellStart"/>
      <w:r>
        <w:rPr>
          <w:rFonts w:asciiTheme="majorHAnsi" w:hAnsiTheme="majorHAnsi"/>
          <w:sz w:val="22"/>
          <w:szCs w:val="22"/>
        </w:rPr>
        <w:t>transferrin</w:t>
      </w:r>
      <w:proofErr w:type="spellEnd"/>
      <w:r>
        <w:rPr>
          <w:rFonts w:asciiTheme="majorHAnsi" w:hAnsiTheme="majorHAnsi"/>
          <w:sz w:val="22"/>
          <w:szCs w:val="22"/>
        </w:rPr>
        <w:t xml:space="preserve"> carrier.  These protein products are orally </w:t>
      </w:r>
      <w:proofErr w:type="spellStart"/>
      <w:r>
        <w:rPr>
          <w:rFonts w:asciiTheme="majorHAnsi" w:hAnsiTheme="majorHAnsi"/>
          <w:sz w:val="22"/>
          <w:szCs w:val="22"/>
        </w:rPr>
        <w:t>bioavailable</w:t>
      </w:r>
      <w:proofErr w:type="spellEnd"/>
      <w:r>
        <w:rPr>
          <w:rFonts w:asciiTheme="majorHAnsi" w:hAnsiTheme="majorHAnsi"/>
          <w:sz w:val="22"/>
          <w:szCs w:val="22"/>
        </w:rPr>
        <w:t xml:space="preserve"> and retain the </w:t>
      </w:r>
      <w:r w:rsidRPr="007F00D7">
        <w:rPr>
          <w:rFonts w:asciiTheme="majorHAnsi" w:hAnsiTheme="majorHAnsi"/>
          <w:sz w:val="22"/>
          <w:szCs w:val="22"/>
        </w:rPr>
        <w:t>biological activity</w:t>
      </w:r>
      <w:r>
        <w:rPr>
          <w:rFonts w:asciiTheme="majorHAnsi" w:hAnsiTheme="majorHAnsi"/>
          <w:sz w:val="22"/>
          <w:szCs w:val="22"/>
        </w:rPr>
        <w:t xml:space="preserve"> of the payload therapeutic protein</w:t>
      </w:r>
      <w:r w:rsidRPr="007F00D7">
        <w:rPr>
          <w:rFonts w:asciiTheme="majorHAnsi" w:hAnsiTheme="majorHAnsi"/>
          <w:sz w:val="22"/>
          <w:szCs w:val="22"/>
        </w:rPr>
        <w:t xml:space="preserve">.  </w:t>
      </w:r>
      <w:r>
        <w:rPr>
          <w:rFonts w:asciiTheme="majorHAnsi" w:hAnsiTheme="majorHAnsi"/>
          <w:sz w:val="22"/>
          <w:szCs w:val="22"/>
        </w:rPr>
        <w:t>T-Fusion™ proteins can be produced and purified at commercial scale utilizing existing protein manufacturing methodologies.</w:t>
      </w:r>
    </w:p>
    <w:p w:rsidR="008A4EB2" w:rsidRDefault="00FC2009" w:rsidP="008A4EB2">
      <w:pPr>
        <w:ind w:firstLine="720"/>
        <w:jc w:val="both"/>
        <w:rPr>
          <w:rFonts w:asciiTheme="majorHAnsi" w:hAnsiTheme="majorHAnsi"/>
          <w:sz w:val="22"/>
          <w:szCs w:val="22"/>
        </w:rPr>
      </w:pPr>
    </w:p>
    <w:p w:rsidR="008A4EB2" w:rsidRDefault="008D1DA0" w:rsidP="008A4EB2">
      <w:pPr>
        <w:ind w:firstLine="720"/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The lead product under development with the T-Fusion™ technology is a fusion protein of G-CSF (ACN-8337).  ACN-8337 retains the biologic activity of G-CSF, is absorbed intact across Caco-2 cells </w:t>
      </w:r>
      <w:r w:rsidRPr="008215E3">
        <w:rPr>
          <w:rFonts w:asciiTheme="majorHAnsi" w:hAnsiTheme="majorHAnsi"/>
          <w:i/>
          <w:sz w:val="22"/>
          <w:szCs w:val="22"/>
        </w:rPr>
        <w:t>in vitro</w:t>
      </w:r>
      <w:r>
        <w:rPr>
          <w:rFonts w:asciiTheme="majorHAnsi" w:hAnsiTheme="majorHAnsi"/>
          <w:sz w:val="22"/>
          <w:szCs w:val="22"/>
        </w:rPr>
        <w:t xml:space="preserve"> by </w:t>
      </w:r>
      <w:proofErr w:type="spellStart"/>
      <w:r>
        <w:rPr>
          <w:rFonts w:asciiTheme="majorHAnsi" w:hAnsiTheme="majorHAnsi"/>
          <w:sz w:val="22"/>
          <w:szCs w:val="22"/>
        </w:rPr>
        <w:t>transferrin</w:t>
      </w:r>
      <w:proofErr w:type="spellEnd"/>
      <w:r>
        <w:rPr>
          <w:rFonts w:asciiTheme="majorHAnsi" w:hAnsiTheme="majorHAnsi"/>
          <w:sz w:val="22"/>
          <w:szCs w:val="22"/>
        </w:rPr>
        <w:t xml:space="preserve">-receptor mediated transport, and produces a </w:t>
      </w:r>
      <w:proofErr w:type="spellStart"/>
      <w:r>
        <w:rPr>
          <w:rFonts w:asciiTheme="majorHAnsi" w:hAnsiTheme="majorHAnsi"/>
          <w:sz w:val="22"/>
          <w:szCs w:val="22"/>
        </w:rPr>
        <w:t>myelopoietic</w:t>
      </w:r>
      <w:proofErr w:type="spellEnd"/>
      <w:r>
        <w:rPr>
          <w:rFonts w:asciiTheme="majorHAnsi" w:hAnsiTheme="majorHAnsi"/>
          <w:sz w:val="22"/>
          <w:szCs w:val="22"/>
        </w:rPr>
        <w:t xml:space="preserve"> effect upon injection into rodents.  </w:t>
      </w:r>
      <w:r w:rsidRPr="007F00D7">
        <w:rPr>
          <w:rFonts w:asciiTheme="majorHAnsi" w:hAnsiTheme="majorHAnsi"/>
          <w:sz w:val="22"/>
          <w:szCs w:val="22"/>
        </w:rPr>
        <w:t xml:space="preserve">Oral administration </w:t>
      </w:r>
      <w:r>
        <w:rPr>
          <w:rFonts w:asciiTheme="majorHAnsi" w:hAnsiTheme="majorHAnsi"/>
          <w:sz w:val="22"/>
          <w:szCs w:val="22"/>
        </w:rPr>
        <w:t xml:space="preserve">of ACN-8337 to </w:t>
      </w:r>
      <w:r w:rsidRPr="007F00D7">
        <w:rPr>
          <w:rFonts w:asciiTheme="majorHAnsi" w:hAnsiTheme="majorHAnsi"/>
          <w:sz w:val="22"/>
          <w:szCs w:val="22"/>
        </w:rPr>
        <w:t xml:space="preserve">mice showed effective GI absorption </w:t>
      </w:r>
      <w:r>
        <w:rPr>
          <w:rFonts w:asciiTheme="majorHAnsi" w:hAnsiTheme="majorHAnsi"/>
          <w:sz w:val="22"/>
          <w:szCs w:val="22"/>
        </w:rPr>
        <w:t xml:space="preserve">with an attendant increase in absolute </w:t>
      </w:r>
      <w:proofErr w:type="spellStart"/>
      <w:r>
        <w:rPr>
          <w:rFonts w:asciiTheme="majorHAnsi" w:hAnsiTheme="majorHAnsi"/>
          <w:sz w:val="22"/>
          <w:szCs w:val="22"/>
        </w:rPr>
        <w:t>neutrophil</w:t>
      </w:r>
      <w:proofErr w:type="spellEnd"/>
      <w:r>
        <w:rPr>
          <w:rFonts w:asciiTheme="majorHAnsi" w:hAnsiTheme="majorHAnsi"/>
          <w:sz w:val="22"/>
          <w:szCs w:val="22"/>
        </w:rPr>
        <w:t xml:space="preserve"> count (Figure 1).  Oral bioequivalence of ACN-8337, as assessed by peak absolute </w:t>
      </w:r>
      <w:proofErr w:type="spellStart"/>
      <w:r>
        <w:rPr>
          <w:rFonts w:asciiTheme="majorHAnsi" w:hAnsiTheme="majorHAnsi"/>
          <w:sz w:val="22"/>
          <w:szCs w:val="22"/>
        </w:rPr>
        <w:t>neutrophil</w:t>
      </w:r>
      <w:proofErr w:type="spellEnd"/>
      <w:r>
        <w:rPr>
          <w:rFonts w:asciiTheme="majorHAnsi" w:hAnsiTheme="majorHAnsi"/>
          <w:sz w:val="22"/>
          <w:szCs w:val="22"/>
        </w:rPr>
        <w:t xml:space="preserve"> count (ANC) in comparison to injected </w:t>
      </w:r>
      <w:proofErr w:type="spellStart"/>
      <w:r>
        <w:rPr>
          <w:rFonts w:asciiTheme="majorHAnsi" w:hAnsiTheme="majorHAnsi"/>
          <w:sz w:val="22"/>
          <w:szCs w:val="22"/>
        </w:rPr>
        <w:t>Neupogen</w:t>
      </w:r>
      <w:proofErr w:type="spellEnd"/>
      <w:r>
        <w:rPr>
          <w:rFonts w:asciiTheme="majorHAnsi" w:hAnsiTheme="majorHAnsi"/>
          <w:sz w:val="22"/>
          <w:szCs w:val="22"/>
        </w:rPr>
        <w:t xml:space="preserve">®, is on the order of 20% (Figure 2).  </w:t>
      </w:r>
    </w:p>
    <w:p w:rsidR="008A4EB2" w:rsidRPr="00243582" w:rsidRDefault="008D1DA0" w:rsidP="00243582">
      <w:pPr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            </w:t>
      </w:r>
      <w:r w:rsidRPr="003A3DD8">
        <w:rPr>
          <w:rFonts w:asciiTheme="majorHAnsi" w:hAnsiTheme="majorHAnsi"/>
          <w:noProof/>
          <w:sz w:val="22"/>
          <w:szCs w:val="22"/>
        </w:rPr>
        <w:drawing>
          <wp:inline distT="0" distB="0" distL="0" distR="0">
            <wp:extent cx="4077335" cy="2580640"/>
            <wp:effectExtent l="101600" t="25400" r="37465" b="10160"/>
            <wp:docPr id="9" name="C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AB279C" w:rsidRDefault="00FC2009" w:rsidP="008A4EB2">
      <w:pPr>
        <w:ind w:left="720"/>
        <w:rPr>
          <w:rFonts w:asciiTheme="majorHAnsi" w:hAnsiTheme="majorHAnsi"/>
          <w:b/>
          <w:sz w:val="20"/>
        </w:rPr>
      </w:pPr>
    </w:p>
    <w:p w:rsidR="00807342" w:rsidRPr="005A7B79" w:rsidRDefault="008D1DA0" w:rsidP="008A4EB2">
      <w:pPr>
        <w:ind w:left="720"/>
        <w:rPr>
          <w:rFonts w:asciiTheme="majorHAnsi" w:hAnsiTheme="majorHAnsi"/>
          <w:sz w:val="22"/>
        </w:rPr>
      </w:pPr>
      <w:r w:rsidRPr="005A7B79">
        <w:rPr>
          <w:rFonts w:asciiTheme="majorHAnsi" w:hAnsiTheme="majorHAnsi"/>
          <w:b/>
          <w:sz w:val="22"/>
        </w:rPr>
        <w:t xml:space="preserve">Figure 1.  </w:t>
      </w:r>
      <w:proofErr w:type="spellStart"/>
      <w:r w:rsidRPr="005A7B79">
        <w:rPr>
          <w:rFonts w:asciiTheme="majorHAnsi" w:hAnsiTheme="majorHAnsi"/>
          <w:sz w:val="22"/>
        </w:rPr>
        <w:t>Myelopoietic</w:t>
      </w:r>
      <w:proofErr w:type="spellEnd"/>
      <w:r w:rsidRPr="005A7B79">
        <w:rPr>
          <w:rFonts w:asciiTheme="majorHAnsi" w:hAnsiTheme="majorHAnsi"/>
          <w:sz w:val="22"/>
        </w:rPr>
        <w:t xml:space="preserve"> effect of single oral doses of ACN-8337, </w:t>
      </w:r>
      <w:proofErr w:type="spellStart"/>
      <w:r w:rsidRPr="005A7B79">
        <w:rPr>
          <w:rFonts w:asciiTheme="majorHAnsi" w:hAnsiTheme="majorHAnsi"/>
          <w:sz w:val="22"/>
        </w:rPr>
        <w:t>Neupogen</w:t>
      </w:r>
      <w:proofErr w:type="spellEnd"/>
      <w:r w:rsidRPr="005A7B79">
        <w:rPr>
          <w:rFonts w:asciiTheme="majorHAnsi" w:hAnsiTheme="majorHAnsi"/>
          <w:sz w:val="22"/>
        </w:rPr>
        <w:t xml:space="preserve">® and control in BDF1 mice.  </w:t>
      </w:r>
    </w:p>
    <w:p w:rsidR="005A7B79" w:rsidRDefault="005A7B79" w:rsidP="005A7B79">
      <w:pPr>
        <w:rPr>
          <w:rFonts w:asciiTheme="majorHAnsi" w:hAnsiTheme="majorHAnsi"/>
          <w:sz w:val="20"/>
        </w:rPr>
      </w:pPr>
    </w:p>
    <w:p w:rsidR="005A7B79" w:rsidRDefault="005A7B79" w:rsidP="005A7B79">
      <w:pPr>
        <w:rPr>
          <w:rFonts w:asciiTheme="majorHAnsi" w:hAnsiTheme="majorHAnsi"/>
          <w:sz w:val="20"/>
        </w:rPr>
      </w:pPr>
    </w:p>
    <w:p w:rsidR="00D92057" w:rsidRDefault="00D92057" w:rsidP="005A7B79">
      <w:pPr>
        <w:rPr>
          <w:rFonts w:asciiTheme="majorHAnsi" w:hAnsiTheme="majorHAnsi"/>
          <w:sz w:val="20"/>
        </w:rPr>
      </w:pPr>
    </w:p>
    <w:p w:rsidR="008A4EB2" w:rsidRDefault="00FC2009" w:rsidP="008A4EB2">
      <w:pPr>
        <w:ind w:left="720"/>
        <w:rPr>
          <w:rFonts w:asciiTheme="majorHAnsi" w:hAnsiTheme="majorHAnsi"/>
          <w:sz w:val="20"/>
        </w:rPr>
      </w:pPr>
    </w:p>
    <w:p w:rsidR="008A4EB2" w:rsidRDefault="008D1DA0" w:rsidP="008A4EB2">
      <w:pPr>
        <w:ind w:left="720"/>
        <w:rPr>
          <w:color w:val="000000"/>
          <w:sz w:val="22"/>
        </w:rPr>
      </w:pPr>
      <w:r w:rsidRPr="00807342">
        <w:rPr>
          <w:noProof/>
          <w:color w:val="000000"/>
          <w:sz w:val="22"/>
        </w:rPr>
        <w:drawing>
          <wp:inline distT="0" distB="0" distL="0" distR="0">
            <wp:extent cx="4059771" cy="2370144"/>
            <wp:effectExtent l="101600" t="25400" r="29629" b="17456"/>
            <wp:docPr id="12" name="C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6E315E" w:rsidRDefault="008D1DA0" w:rsidP="008A4EB2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508635</wp:posOffset>
            </wp:positionH>
            <wp:positionV relativeFrom="paragraph">
              <wp:posOffset>106680</wp:posOffset>
            </wp:positionV>
            <wp:extent cx="4114800" cy="800100"/>
            <wp:effectExtent l="0" t="0" r="0" b="0"/>
            <wp:wrapNone/>
            <wp:docPr id="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ve:AlternateContent xmlns:ma="http://schemas.microsoft.com/office/mac/drawingml/2008/main">
                    <ve:Choice Requires="ma"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</ve:Choice>
                    <ve:Fallback xmlns:pic="http://schemas.openxmlformats.org/drawingml/2006/picture" xmlns:a="http://schemas.openxmlformats.org/drawingml/2006/main" xmlns:wne="http://schemas.microsoft.com/office/word/2006/wordml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ve="http://schemas.openxmlformats.org/markup-compatibility/2006" xmlns=""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41148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sz w:val="22"/>
          <w:szCs w:val="22"/>
        </w:rPr>
        <w:t xml:space="preserve"> </w:t>
      </w:r>
    </w:p>
    <w:p w:rsidR="008A4EB2" w:rsidRPr="002D3D0D" w:rsidRDefault="008D1DA0" w:rsidP="008A4EB2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          </w:t>
      </w:r>
    </w:p>
    <w:p w:rsidR="00243582" w:rsidRDefault="00FC2009" w:rsidP="00807342">
      <w:pPr>
        <w:rPr>
          <w:rFonts w:asciiTheme="majorHAnsi" w:hAnsiTheme="majorHAnsi"/>
          <w:b/>
          <w:sz w:val="20"/>
        </w:rPr>
      </w:pPr>
    </w:p>
    <w:p w:rsidR="00807342" w:rsidRDefault="00FC2009" w:rsidP="008A4EB2">
      <w:pPr>
        <w:ind w:firstLine="720"/>
        <w:rPr>
          <w:rFonts w:asciiTheme="majorHAnsi" w:hAnsiTheme="majorHAnsi"/>
          <w:b/>
          <w:sz w:val="20"/>
        </w:rPr>
      </w:pPr>
    </w:p>
    <w:p w:rsidR="00807342" w:rsidRDefault="00FC2009" w:rsidP="008A4EB2">
      <w:pPr>
        <w:ind w:firstLine="720"/>
        <w:rPr>
          <w:rFonts w:asciiTheme="majorHAnsi" w:hAnsiTheme="majorHAnsi"/>
          <w:b/>
          <w:sz w:val="20"/>
        </w:rPr>
      </w:pPr>
    </w:p>
    <w:p w:rsidR="00807342" w:rsidRDefault="00FC2009" w:rsidP="008A4EB2">
      <w:pPr>
        <w:ind w:firstLine="720"/>
        <w:rPr>
          <w:rFonts w:asciiTheme="majorHAnsi" w:hAnsiTheme="majorHAnsi"/>
          <w:b/>
          <w:sz w:val="20"/>
        </w:rPr>
      </w:pPr>
    </w:p>
    <w:p w:rsidR="000137F5" w:rsidRPr="00013B49" w:rsidRDefault="008D1DA0" w:rsidP="00013B49">
      <w:pPr>
        <w:ind w:firstLine="720"/>
        <w:rPr>
          <w:rFonts w:asciiTheme="majorHAnsi" w:hAnsiTheme="majorHAnsi"/>
          <w:b/>
          <w:sz w:val="22"/>
        </w:rPr>
      </w:pPr>
      <w:r w:rsidRPr="005A7B79">
        <w:rPr>
          <w:rFonts w:asciiTheme="majorHAnsi" w:hAnsiTheme="majorHAnsi"/>
          <w:b/>
          <w:sz w:val="22"/>
        </w:rPr>
        <w:t xml:space="preserve">Figure 2.  </w:t>
      </w:r>
      <w:proofErr w:type="gramStart"/>
      <w:r w:rsidRPr="005A7B79">
        <w:rPr>
          <w:rFonts w:asciiTheme="majorHAnsi" w:hAnsiTheme="majorHAnsi"/>
          <w:sz w:val="22"/>
        </w:rPr>
        <w:t xml:space="preserve">Oral bioequivalence of ACN-8337 compared to injected </w:t>
      </w:r>
      <w:proofErr w:type="spellStart"/>
      <w:r w:rsidRPr="005A7B79">
        <w:rPr>
          <w:rFonts w:asciiTheme="majorHAnsi" w:hAnsiTheme="majorHAnsi"/>
          <w:sz w:val="22"/>
        </w:rPr>
        <w:t>Neupogen</w:t>
      </w:r>
      <w:proofErr w:type="spellEnd"/>
      <w:r w:rsidRPr="005A7B79">
        <w:rPr>
          <w:rFonts w:asciiTheme="majorHAnsi" w:hAnsiTheme="majorHAnsi"/>
          <w:sz w:val="22"/>
        </w:rPr>
        <w:t>®.</w:t>
      </w:r>
      <w:proofErr w:type="gramEnd"/>
    </w:p>
    <w:p w:rsidR="008A4EB2" w:rsidRPr="00686F37" w:rsidRDefault="008D1DA0" w:rsidP="008A4EB2">
      <w:pPr>
        <w:ind w:firstLine="720"/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The T-Fusion™ platform also encompasses a recombinant </w:t>
      </w:r>
      <w:r w:rsidRPr="00686F37">
        <w:rPr>
          <w:rFonts w:asciiTheme="majorHAnsi" w:hAnsiTheme="majorHAnsi"/>
          <w:sz w:val="22"/>
          <w:szCs w:val="22"/>
        </w:rPr>
        <w:t xml:space="preserve">protein </w:t>
      </w:r>
      <w:proofErr w:type="spellStart"/>
      <w:r w:rsidRPr="00686F37">
        <w:rPr>
          <w:rFonts w:asciiTheme="majorHAnsi" w:hAnsiTheme="majorHAnsi"/>
          <w:sz w:val="22"/>
          <w:szCs w:val="22"/>
        </w:rPr>
        <w:t>prodrug</w:t>
      </w:r>
      <w:proofErr w:type="spellEnd"/>
      <w:r w:rsidRPr="00686F37">
        <w:rPr>
          <w:rFonts w:asciiTheme="majorHAnsi" w:hAnsiTheme="majorHAnsi"/>
          <w:sz w:val="22"/>
          <w:szCs w:val="22"/>
        </w:rPr>
        <w:t xml:space="preserve"> technology </w:t>
      </w:r>
      <w:r>
        <w:rPr>
          <w:rFonts w:asciiTheme="majorHAnsi" w:hAnsiTheme="majorHAnsi"/>
          <w:sz w:val="22"/>
          <w:szCs w:val="22"/>
        </w:rPr>
        <w:t>designed to release</w:t>
      </w:r>
      <w:r w:rsidRPr="00686F37">
        <w:rPr>
          <w:rFonts w:asciiTheme="majorHAnsi" w:hAnsiTheme="majorHAnsi"/>
          <w:sz w:val="22"/>
          <w:szCs w:val="22"/>
        </w:rPr>
        <w:t xml:space="preserve"> free therapeutic proteins into the systemic circulation following oral </w:t>
      </w:r>
      <w:r>
        <w:rPr>
          <w:rFonts w:asciiTheme="majorHAnsi" w:hAnsiTheme="majorHAnsi"/>
          <w:sz w:val="22"/>
          <w:szCs w:val="22"/>
        </w:rPr>
        <w:t xml:space="preserve">administration.  </w:t>
      </w:r>
      <w:proofErr w:type="spellStart"/>
      <w:r w:rsidRPr="00686F37">
        <w:rPr>
          <w:rFonts w:asciiTheme="majorHAnsi" w:hAnsiTheme="majorHAnsi"/>
          <w:sz w:val="22"/>
          <w:szCs w:val="22"/>
        </w:rPr>
        <w:t>Prodrug</w:t>
      </w:r>
      <w:r>
        <w:rPr>
          <w:rFonts w:asciiTheme="majorHAnsi" w:hAnsiTheme="majorHAnsi"/>
          <w:sz w:val="22"/>
          <w:szCs w:val="22"/>
        </w:rPr>
        <w:t>s</w:t>
      </w:r>
      <w:proofErr w:type="spellEnd"/>
      <w:r>
        <w:rPr>
          <w:rFonts w:asciiTheme="majorHAnsi" w:hAnsiTheme="majorHAnsi"/>
          <w:sz w:val="22"/>
          <w:szCs w:val="22"/>
        </w:rPr>
        <w:t xml:space="preserve"> </w:t>
      </w:r>
      <w:r w:rsidRPr="00686F37">
        <w:rPr>
          <w:rFonts w:asciiTheme="majorHAnsi" w:hAnsiTheme="majorHAnsi"/>
          <w:sz w:val="22"/>
          <w:szCs w:val="22"/>
        </w:rPr>
        <w:t xml:space="preserve">that undergo chemical conversion in the body </w:t>
      </w:r>
      <w:r>
        <w:rPr>
          <w:rFonts w:asciiTheme="majorHAnsi" w:hAnsiTheme="majorHAnsi"/>
          <w:sz w:val="22"/>
          <w:szCs w:val="22"/>
        </w:rPr>
        <w:t xml:space="preserve">to become an </w:t>
      </w:r>
      <w:r w:rsidRPr="00686F37">
        <w:rPr>
          <w:rFonts w:asciiTheme="majorHAnsi" w:hAnsiTheme="majorHAnsi"/>
          <w:sz w:val="22"/>
          <w:szCs w:val="22"/>
        </w:rPr>
        <w:t>active drug</w:t>
      </w:r>
      <w:r>
        <w:rPr>
          <w:rFonts w:asciiTheme="majorHAnsi" w:hAnsiTheme="majorHAnsi"/>
          <w:sz w:val="22"/>
          <w:szCs w:val="22"/>
        </w:rPr>
        <w:t xml:space="preserve"> are widely used with small molecules </w:t>
      </w:r>
      <w:r w:rsidRPr="00686F37">
        <w:rPr>
          <w:rFonts w:asciiTheme="majorHAnsi" w:hAnsiTheme="majorHAnsi"/>
          <w:sz w:val="22"/>
          <w:szCs w:val="22"/>
        </w:rPr>
        <w:t xml:space="preserve">to circumvent problems associated with oral bioavailability.  </w:t>
      </w:r>
      <w:r>
        <w:rPr>
          <w:rFonts w:asciiTheme="majorHAnsi" w:hAnsiTheme="majorHAnsi"/>
          <w:sz w:val="22"/>
          <w:szCs w:val="22"/>
        </w:rPr>
        <w:t xml:space="preserve">This approach has been applied to recombinant therapeutic proteins through the </w:t>
      </w:r>
      <w:r w:rsidRPr="00686F37">
        <w:rPr>
          <w:rFonts w:asciiTheme="majorHAnsi" w:hAnsiTheme="majorHAnsi"/>
          <w:sz w:val="22"/>
          <w:szCs w:val="22"/>
        </w:rPr>
        <w:t>creat</w:t>
      </w:r>
      <w:r>
        <w:rPr>
          <w:rFonts w:asciiTheme="majorHAnsi" w:hAnsiTheme="majorHAnsi"/>
          <w:sz w:val="22"/>
          <w:szCs w:val="22"/>
        </w:rPr>
        <w:t xml:space="preserve">ion of </w:t>
      </w:r>
      <w:r w:rsidRPr="00686F37">
        <w:rPr>
          <w:rFonts w:asciiTheme="majorHAnsi" w:hAnsiTheme="majorHAnsi"/>
          <w:sz w:val="22"/>
          <w:szCs w:val="22"/>
        </w:rPr>
        <w:t xml:space="preserve">a temporary linkage between </w:t>
      </w:r>
      <w:r>
        <w:rPr>
          <w:rFonts w:asciiTheme="majorHAnsi" w:hAnsiTheme="majorHAnsi"/>
          <w:sz w:val="22"/>
          <w:szCs w:val="22"/>
        </w:rPr>
        <w:t xml:space="preserve">the </w:t>
      </w:r>
      <w:proofErr w:type="spellStart"/>
      <w:r w:rsidRPr="00686F37">
        <w:rPr>
          <w:rFonts w:asciiTheme="majorHAnsi" w:hAnsiTheme="majorHAnsi"/>
          <w:sz w:val="22"/>
          <w:szCs w:val="22"/>
        </w:rPr>
        <w:t>transferrin</w:t>
      </w:r>
      <w:proofErr w:type="spellEnd"/>
      <w:r w:rsidRPr="00686F37">
        <w:rPr>
          <w:rFonts w:asciiTheme="majorHAnsi" w:hAnsiTheme="majorHAnsi"/>
          <w:sz w:val="22"/>
          <w:szCs w:val="22"/>
        </w:rPr>
        <w:t xml:space="preserve"> </w:t>
      </w:r>
      <w:r>
        <w:rPr>
          <w:rFonts w:asciiTheme="majorHAnsi" w:hAnsiTheme="majorHAnsi"/>
          <w:sz w:val="22"/>
          <w:szCs w:val="22"/>
        </w:rPr>
        <w:t xml:space="preserve">carrier protein </w:t>
      </w:r>
      <w:r w:rsidRPr="00686F37">
        <w:rPr>
          <w:rFonts w:asciiTheme="majorHAnsi" w:hAnsiTheme="majorHAnsi"/>
          <w:sz w:val="22"/>
          <w:szCs w:val="22"/>
        </w:rPr>
        <w:t xml:space="preserve">and the </w:t>
      </w:r>
      <w:r>
        <w:rPr>
          <w:rFonts w:asciiTheme="majorHAnsi" w:hAnsiTheme="majorHAnsi"/>
          <w:sz w:val="22"/>
          <w:szCs w:val="22"/>
        </w:rPr>
        <w:t xml:space="preserve">payload </w:t>
      </w:r>
      <w:r w:rsidRPr="00686F37">
        <w:rPr>
          <w:rFonts w:asciiTheme="majorHAnsi" w:hAnsiTheme="majorHAnsi"/>
          <w:sz w:val="22"/>
          <w:szCs w:val="22"/>
        </w:rPr>
        <w:t xml:space="preserve">therapeutic protein.  In animal studies, </w:t>
      </w:r>
      <w:r>
        <w:rPr>
          <w:rFonts w:asciiTheme="majorHAnsi" w:hAnsiTheme="majorHAnsi"/>
          <w:sz w:val="22"/>
          <w:szCs w:val="22"/>
        </w:rPr>
        <w:t xml:space="preserve">such a recombinant protein </w:t>
      </w:r>
      <w:proofErr w:type="spellStart"/>
      <w:r w:rsidRPr="00686F37">
        <w:rPr>
          <w:rFonts w:asciiTheme="majorHAnsi" w:hAnsiTheme="majorHAnsi"/>
          <w:sz w:val="22"/>
          <w:szCs w:val="22"/>
        </w:rPr>
        <w:t>prodrug</w:t>
      </w:r>
      <w:proofErr w:type="spellEnd"/>
      <w:r w:rsidRPr="00686F37">
        <w:rPr>
          <w:rFonts w:asciiTheme="majorHAnsi" w:hAnsiTheme="majorHAnsi"/>
          <w:sz w:val="22"/>
          <w:szCs w:val="22"/>
        </w:rPr>
        <w:t xml:space="preserve"> of G-CSF</w:t>
      </w:r>
      <w:r>
        <w:rPr>
          <w:rFonts w:asciiTheme="majorHAnsi" w:hAnsiTheme="majorHAnsi"/>
          <w:sz w:val="22"/>
          <w:szCs w:val="22"/>
        </w:rPr>
        <w:t xml:space="preserve"> has been shown to release</w:t>
      </w:r>
      <w:r w:rsidRPr="00686F37">
        <w:rPr>
          <w:rFonts w:asciiTheme="majorHAnsi" w:hAnsiTheme="majorHAnsi"/>
          <w:sz w:val="22"/>
          <w:szCs w:val="22"/>
        </w:rPr>
        <w:t xml:space="preserve"> therapeutic levels of free G-CSF into the systemic circulation</w:t>
      </w:r>
      <w:r>
        <w:rPr>
          <w:rFonts w:asciiTheme="majorHAnsi" w:hAnsiTheme="majorHAnsi"/>
          <w:sz w:val="22"/>
          <w:szCs w:val="22"/>
        </w:rPr>
        <w:t>.</w:t>
      </w:r>
      <w:r w:rsidRPr="00686F37">
        <w:rPr>
          <w:rFonts w:asciiTheme="majorHAnsi" w:hAnsiTheme="majorHAnsi"/>
          <w:sz w:val="22"/>
          <w:szCs w:val="22"/>
        </w:rPr>
        <w:t xml:space="preserve"> </w:t>
      </w:r>
    </w:p>
    <w:p w:rsidR="008A4EB2" w:rsidRPr="00686F37" w:rsidRDefault="00FC2009" w:rsidP="008A4EB2">
      <w:pPr>
        <w:ind w:firstLine="720"/>
        <w:jc w:val="both"/>
        <w:rPr>
          <w:rFonts w:asciiTheme="majorHAnsi" w:hAnsiTheme="majorHAnsi"/>
          <w:sz w:val="22"/>
          <w:szCs w:val="22"/>
        </w:rPr>
      </w:pPr>
    </w:p>
    <w:p w:rsidR="008A4EB2" w:rsidRDefault="008D1DA0" w:rsidP="008A4EB2">
      <w:pPr>
        <w:ind w:firstLine="720"/>
        <w:jc w:val="both"/>
        <w:rPr>
          <w:rFonts w:asciiTheme="majorHAnsi" w:hAnsiTheme="majorHAnsi"/>
          <w:sz w:val="22"/>
          <w:szCs w:val="22"/>
        </w:rPr>
      </w:pPr>
      <w:r w:rsidRPr="00686F37">
        <w:rPr>
          <w:rFonts w:asciiTheme="majorHAnsi" w:hAnsiTheme="majorHAnsi"/>
          <w:sz w:val="22"/>
          <w:szCs w:val="22"/>
        </w:rPr>
        <w:t>The worldwide market for therapeutic recombinant proteins was over $40 Billion in 2007.</w:t>
      </w:r>
      <w:r>
        <w:rPr>
          <w:rFonts w:asciiTheme="majorHAnsi" w:hAnsiTheme="majorHAnsi"/>
          <w:sz w:val="22"/>
          <w:szCs w:val="22"/>
        </w:rPr>
        <w:t xml:space="preserve">  The </w:t>
      </w:r>
      <w:r w:rsidRPr="00686F37">
        <w:rPr>
          <w:rFonts w:asciiTheme="majorHAnsi" w:hAnsiTheme="majorHAnsi"/>
          <w:sz w:val="22"/>
          <w:szCs w:val="22"/>
        </w:rPr>
        <w:t xml:space="preserve">T-Fusion™ platform </w:t>
      </w:r>
      <w:r>
        <w:rPr>
          <w:rFonts w:asciiTheme="majorHAnsi" w:hAnsiTheme="majorHAnsi"/>
          <w:sz w:val="22"/>
          <w:szCs w:val="22"/>
        </w:rPr>
        <w:t xml:space="preserve">is applicable to </w:t>
      </w:r>
      <w:r w:rsidRPr="00686F37">
        <w:rPr>
          <w:rFonts w:asciiTheme="majorHAnsi" w:hAnsiTheme="majorHAnsi"/>
          <w:sz w:val="22"/>
          <w:szCs w:val="22"/>
        </w:rPr>
        <w:t>a wide range of recombinant therapeutic proteins, such as erythropoietin, growth factors, blood clotting factors, growth hormones, reproductive hormones and replacement enzymes.</w:t>
      </w:r>
      <w:r>
        <w:rPr>
          <w:rFonts w:asciiTheme="majorHAnsi" w:hAnsiTheme="majorHAnsi"/>
          <w:sz w:val="22"/>
          <w:szCs w:val="22"/>
        </w:rPr>
        <w:t xml:space="preserve">  With pharmaceutical level oral bioavailability and existing manufacturing methods for production of recombinant proteins, orally administered therapeutic proteins based on the T-Fusion™ technology are anticipated to deliver gross margins in excess of 90%.  </w:t>
      </w:r>
    </w:p>
    <w:p w:rsidR="008A4EB2" w:rsidRDefault="00FC2009" w:rsidP="008A4EB2">
      <w:pPr>
        <w:ind w:firstLine="720"/>
        <w:jc w:val="both"/>
        <w:rPr>
          <w:rFonts w:asciiTheme="majorHAnsi" w:hAnsiTheme="majorHAnsi"/>
          <w:sz w:val="22"/>
          <w:szCs w:val="22"/>
        </w:rPr>
      </w:pPr>
    </w:p>
    <w:p w:rsidR="008A4EB2" w:rsidRPr="00A4702E" w:rsidRDefault="008D1DA0" w:rsidP="00A4702E">
      <w:pPr>
        <w:ind w:firstLine="720"/>
        <w:jc w:val="both"/>
        <w:rPr>
          <w:rFonts w:asciiTheme="majorHAnsi" w:hAnsiTheme="majorHAnsi" w:cs="Arial"/>
          <w:bCs/>
        </w:rPr>
      </w:pPr>
      <w:r w:rsidRPr="00686F37">
        <w:rPr>
          <w:rFonts w:asciiTheme="majorHAnsi" w:hAnsiTheme="majorHAnsi"/>
          <w:sz w:val="22"/>
          <w:szCs w:val="22"/>
        </w:rPr>
        <w:t xml:space="preserve">Detailed information on T-Fusion™ and the research </w:t>
      </w:r>
      <w:r w:rsidR="002562FF">
        <w:rPr>
          <w:rFonts w:asciiTheme="majorHAnsi" w:hAnsiTheme="majorHAnsi"/>
          <w:sz w:val="22"/>
          <w:szCs w:val="22"/>
        </w:rPr>
        <w:t>and development conducted</w:t>
      </w:r>
      <w:r w:rsidRPr="00686F37">
        <w:rPr>
          <w:rFonts w:asciiTheme="majorHAnsi" w:hAnsiTheme="majorHAnsi"/>
          <w:sz w:val="22"/>
          <w:szCs w:val="22"/>
        </w:rPr>
        <w:t xml:space="preserve"> to-date will be made available upon request.</w:t>
      </w:r>
    </w:p>
    <w:p w:rsidR="00A4702E" w:rsidRDefault="00FC2009" w:rsidP="008A4EB2">
      <w:pPr>
        <w:rPr>
          <w:rFonts w:asciiTheme="majorHAnsi" w:hAnsiTheme="majorHAnsi" w:cs="Arial"/>
        </w:rPr>
      </w:pPr>
    </w:p>
    <w:sectPr w:rsidR="00A4702E" w:rsidSect="008A4EB2">
      <w:headerReference w:type="default" r:id="rId12"/>
      <w:footerReference w:type="default" r:id="rId13"/>
      <w:headerReference w:type="first" r:id="rId14"/>
      <w:pgSz w:w="12240" w:h="15840"/>
      <w:pgMar w:top="1440" w:right="1080" w:bottom="864" w:left="1080" w:gutter="0"/>
      <w:titlePg/>
    </w:sectPr>
  </w:body>
</w:document>
</file>

<file path=word/endnotes.xml><?xml version="1.0" encoding="utf-8"?>
<w:end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endnote w:type="separator" w:id="0">
    <w:p w:rsidR="00821886" w:rsidRDefault="00821886" w:rsidP="008A4EB2">
      <w:r>
        <w:separator/>
      </w:r>
    </w:p>
  </w:endnote>
  <w:endnote w:type="continuationSeparator" w:id="1">
    <w:p w:rsidR="00821886" w:rsidRDefault="00821886" w:rsidP="008A4E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New Century Schoolbook">
    <w:altName w:val="New Century Schlbk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1A3989" w:rsidRDefault="00B2298C">
    <w:pPr>
      <w:pStyle w:val="Footer"/>
    </w:pPr>
    <w:r>
      <w:pict>
        <v:shapetype id="_x0000_t202" coordsize="21600,21600" o:spt="202" path="m0,0l0,21600,21600,21600,21600,0xe">
          <v:stroke joinstyle="miter"/>
          <v:path gradientshapeok="t" o:connecttype="rect"/>
        </v:shapetype>
        <v:shape id="_x0000_s2049" type="#_x0000_t202" style="position:absolute;margin-left:247.05pt;margin-top:-4pt;width:252pt;height:18pt;z-index:251656704" filled="f" stroked="f">
          <v:textbox style="mso-next-textbox:#_x0000_s2049">
            <w:txbxContent>
              <w:p w:rsidR="001A3989" w:rsidRPr="00406348" w:rsidRDefault="008D1DA0" w:rsidP="008A4EB2">
                <w:pPr>
                  <w:jc w:val="right"/>
                  <w:rPr>
                    <w:rFonts w:ascii="Arial" w:hAnsi="Arial"/>
                    <w:color w:val="333399"/>
                    <w:sz w:val="16"/>
                  </w:rPr>
                </w:pPr>
                <w:proofErr w:type="gramStart"/>
                <w:r w:rsidRPr="00406348">
                  <w:rPr>
                    <w:rFonts w:ascii="Arial" w:hAnsi="Arial"/>
                    <w:color w:val="333399"/>
                    <w:sz w:val="16"/>
                  </w:rPr>
                  <w:t>© 2008 Acorn Biomedical, Inc.</w:t>
                </w:r>
                <w:proofErr w:type="gramEnd"/>
              </w:p>
            </w:txbxContent>
          </v:textbox>
        </v:shape>
      </w:pict>
    </w:r>
    <w:r>
      <w:rPr>
        <w:noProof/>
      </w:rPr>
      <w:pict>
        <v:shape id="_x0000_s2055" type="#_x0000_t202" style="position:absolute;margin-left:-31.95pt;margin-top:-4pt;width:178.95pt;height:18pt;z-index:251662848;mso-wrap-edited:f" wrapcoords="0 0 21600 0 21600 21600 0 21600 0 0" filled="f" stroked="f">
          <v:textbox style="mso-next-textbox:#_x0000_s2055">
            <w:txbxContent>
              <w:p w:rsidR="001A3989" w:rsidRPr="00FA38B9" w:rsidRDefault="008D1DA0" w:rsidP="00FA38B9">
                <w:pPr>
                  <w:jc w:val="right"/>
                  <w:rPr>
                    <w:rFonts w:ascii="Arial" w:hAnsi="Arial"/>
                    <w:caps/>
                    <w:color w:val="333399"/>
                    <w:sz w:val="16"/>
                  </w:rPr>
                </w:pPr>
                <w:r w:rsidRPr="00FA38B9">
                  <w:rPr>
                    <w:rFonts w:ascii="Arial" w:hAnsi="Arial"/>
                    <w:caps/>
                    <w:color w:val="333399"/>
                    <w:sz w:val="16"/>
                  </w:rPr>
                  <w:t>Non-Confidential Information</w:t>
                </w:r>
              </w:p>
            </w:txbxContent>
          </v:textbox>
          <w10:wrap type="tight"/>
        </v:shape>
      </w:pict>
    </w:r>
    <w:r>
      <w:rPr>
        <w:noProof/>
      </w:rPr>
      <w:pict>
        <v:shape id="_x0000_s2052" type="#_x0000_t202" style="position:absolute;margin-left:220.05pt;margin-top:-5.45pt;width:2in;height:18pt;z-index:251659776;mso-wrap-edited:f" wrapcoords="0 0 21600 0 21600 21600 0 21600 0 0" filled="f" stroked="f">
          <v:textbox style="mso-next-textbox:#_x0000_s2052">
            <w:txbxContent>
              <w:p w:rsidR="001A3989" w:rsidRPr="00D32FA0" w:rsidRDefault="00B2298C" w:rsidP="008A4EB2">
                <w:pPr>
                  <w:rPr>
                    <w:color w:val="000090"/>
                    <w:sz w:val="20"/>
                  </w:rPr>
                </w:pPr>
                <w:r w:rsidRPr="00D32FA0">
                  <w:rPr>
                    <w:rStyle w:val="PageNumber"/>
                    <w:color w:val="000090"/>
                    <w:sz w:val="20"/>
                  </w:rPr>
                  <w:fldChar w:fldCharType="begin"/>
                </w:r>
                <w:r w:rsidR="008D1DA0" w:rsidRPr="00D32FA0">
                  <w:rPr>
                    <w:rStyle w:val="PageNumber"/>
                    <w:color w:val="000090"/>
                    <w:sz w:val="20"/>
                  </w:rPr>
                  <w:instrText xml:space="preserve"> PAGE </w:instrText>
                </w:r>
                <w:r w:rsidRPr="00D32FA0">
                  <w:rPr>
                    <w:rStyle w:val="PageNumber"/>
                    <w:color w:val="000090"/>
                    <w:sz w:val="20"/>
                  </w:rPr>
                  <w:fldChar w:fldCharType="separate"/>
                </w:r>
                <w:r w:rsidR="00FC2009">
                  <w:rPr>
                    <w:rStyle w:val="PageNumber"/>
                    <w:noProof/>
                    <w:color w:val="000090"/>
                    <w:sz w:val="20"/>
                  </w:rPr>
                  <w:t>4</w:t>
                </w:r>
                <w:r w:rsidRPr="00D32FA0">
                  <w:rPr>
                    <w:rStyle w:val="PageNumber"/>
                    <w:color w:val="000090"/>
                    <w:sz w:val="20"/>
                  </w:rPr>
                  <w:fldChar w:fldCharType="end"/>
                </w:r>
              </w:p>
            </w:txbxContent>
          </v:textbox>
          <w10:wrap type="tight"/>
        </v:shape>
      </w:pict>
    </w:r>
    <w:r>
      <w:pict>
        <v:shape id="_x0000_s2050" type="#_x0000_t202" style="position:absolute;margin-left:-7.35pt;margin-top:-81pt;width:522pt;height:90pt;z-index:251657728" filled="f" stroked="f">
          <v:textbox style="mso-next-textbox:#_x0000_s2050">
            <w:txbxContent>
              <w:p w:rsidR="001A3989" w:rsidRDefault="008D1DA0">
                <w:r>
                  <w:rPr>
                    <w:noProof/>
                  </w:rPr>
                  <w:drawing>
                    <wp:inline distT="0" distB="0" distL="0" distR="0">
                      <wp:extent cx="6400800" cy="904240"/>
                      <wp:effectExtent l="25400" t="0" r="0" b="0"/>
                      <wp:docPr id="1" name="Picture 1" descr="footer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footer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400800" cy="9042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type="square"/>
        </v:shape>
      </w:pict>
    </w:r>
  </w:p>
</w:ftr>
</file>

<file path=word/footnotes.xml><?xml version="1.0" encoding="utf-8"?>
<w:foot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footnote w:type="separator" w:id="0">
    <w:p w:rsidR="00821886" w:rsidRDefault="00821886" w:rsidP="008A4EB2">
      <w:r>
        <w:separator/>
      </w:r>
    </w:p>
  </w:footnote>
  <w:footnote w:type="continuationSeparator" w:id="1">
    <w:p w:rsidR="00821886" w:rsidRDefault="00821886" w:rsidP="008A4EB2">
      <w:r>
        <w:continuationSeparator/>
      </w:r>
    </w:p>
  </w:footnote>
</w:footnotes>
</file>

<file path=word/header1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1A3989" w:rsidRDefault="00B2298C">
    <w:pPr>
      <w:pStyle w:val="Header"/>
    </w:pPr>
    <w:r>
      <w:pict>
        <v:shapetype id="_x0000_t202" coordsize="21600,21600" o:spt="202" path="m0,0l0,21600,21600,21600,21600,0xe">
          <v:stroke joinstyle="miter"/>
          <v:path gradientshapeok="t" o:connecttype="rect"/>
        </v:shapetype>
        <v:shape id="_x0000_s2051" type="#_x0000_t202" style="position:absolute;margin-left:-7.95pt;margin-top:0;width:516pt;height:63.2pt;z-index:251658752" filled="f" stroked="f">
          <v:textbox style="mso-next-textbox:#_x0000_s2051">
            <w:txbxContent>
              <w:p w:rsidR="001A3989" w:rsidRDefault="008D1DA0">
                <w:r>
                  <w:rPr>
                    <w:noProof/>
                  </w:rPr>
                  <w:drawing>
                    <wp:inline distT="0" distB="0" distL="0" distR="0">
                      <wp:extent cx="6400800" cy="355600"/>
                      <wp:effectExtent l="25400" t="0" r="0" b="0"/>
                      <wp:docPr id="2" name="Picture 2" descr="top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top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400800" cy="3556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type="square"/>
        </v:shape>
      </w:pict>
    </w:r>
  </w:p>
</w:hdr>
</file>

<file path=word/header2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1A3989" w:rsidRDefault="00B2298C">
    <w:pPr>
      <w:pStyle w:val="Header"/>
    </w:pPr>
    <w:r>
      <w:rPr>
        <w:noProof/>
      </w:rPr>
      <w:pict>
        <v:shapetype id="_x0000_t202" coordsize="21600,21600" o:spt="202" path="m0,0l0,21600,21600,21600,21600,0xe">
          <v:stroke joinstyle="miter"/>
          <v:path gradientshapeok="t" o:connecttype="rect"/>
        </v:shapetype>
        <v:shape id="_x0000_s2054" type="#_x0000_t202" style="position:absolute;margin-left:-40.95pt;margin-top:702.2pt;width:178.95pt;height:18pt;z-index:251661824;mso-wrap-edited:f" wrapcoords="0 0 21600 0 21600 21600 0 21600 0 0" filled="f" stroked="f">
          <v:textbox style="mso-next-textbox:#_x0000_s2054">
            <w:txbxContent>
              <w:p w:rsidR="001A3989" w:rsidRPr="00FA38B9" w:rsidRDefault="008D1DA0" w:rsidP="00FA38B9">
                <w:pPr>
                  <w:jc w:val="right"/>
                  <w:rPr>
                    <w:rFonts w:ascii="Arial" w:hAnsi="Arial"/>
                    <w:caps/>
                    <w:color w:val="333399"/>
                    <w:sz w:val="16"/>
                  </w:rPr>
                </w:pPr>
                <w:r w:rsidRPr="00FA38B9">
                  <w:rPr>
                    <w:rFonts w:ascii="Arial" w:hAnsi="Arial"/>
                    <w:caps/>
                    <w:color w:val="333399"/>
                    <w:sz w:val="16"/>
                  </w:rPr>
                  <w:t>Non-Confidential Information</w:t>
                </w:r>
              </w:p>
            </w:txbxContent>
          </v:textbox>
          <w10:wrap type="tight"/>
        </v:shape>
      </w:pict>
    </w:r>
    <w:r>
      <w:rPr>
        <w:noProof/>
      </w:rPr>
      <w:pict>
        <v:shape id="_x0000_s2053" type="#_x0000_t202" style="position:absolute;margin-left:283.05pt;margin-top:702.2pt;width:228pt;height:18pt;z-index:251660800;mso-wrap-edited:f" wrapcoords="0 0 21600 0 21600 21600 0 21600 0 0" filled="f" stroked="f">
          <v:textbox style="mso-next-textbox:#_x0000_s2053">
            <w:txbxContent>
              <w:p w:rsidR="001A3989" w:rsidRPr="00406348" w:rsidRDefault="008D1DA0" w:rsidP="008A4EB2">
                <w:pPr>
                  <w:jc w:val="right"/>
                  <w:rPr>
                    <w:rFonts w:ascii="Arial" w:hAnsi="Arial"/>
                    <w:color w:val="333399"/>
                    <w:sz w:val="16"/>
                  </w:rPr>
                </w:pPr>
                <w:proofErr w:type="gramStart"/>
                <w:r w:rsidRPr="00406348">
                  <w:rPr>
                    <w:rFonts w:ascii="Arial" w:hAnsi="Arial"/>
                    <w:color w:val="333399"/>
                    <w:sz w:val="16"/>
                  </w:rPr>
                  <w:t>© 2008 Acorn Biomedical, Inc.</w:t>
                </w:r>
                <w:proofErr w:type="gramEnd"/>
              </w:p>
            </w:txbxContent>
          </v:textbox>
          <w10:wrap type="tight"/>
        </v:shape>
      </w:pict>
    </w:r>
  </w:p>
</w:hdr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64pt;height:82pt" o:bullet="t">
        <v:imagedata r:id="rId1" o:title="acorn_bullet_blueedge3"/>
      </v:shape>
    </w:pict>
  </w:numPicBullet>
  <w:numPicBullet w:numPicBulletId="1">
    <w:pict>
      <v:shape id="_x0000_i1029" type="#_x0000_t75" style="width:203pt;height:261pt" o:bullet="t">
        <v:imagedata r:id="rId2" o:title="acorn"/>
      </v:shape>
    </w:pict>
  </w:numPicBullet>
  <w:abstractNum w:abstractNumId="0">
    <w:nsid w:val="05165711"/>
    <w:multiLevelType w:val="hybridMultilevel"/>
    <w:tmpl w:val="6CDA70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010409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3567A7E"/>
    <w:multiLevelType w:val="hybridMultilevel"/>
    <w:tmpl w:val="A838E2D4"/>
    <w:lvl w:ilvl="0" w:tplc="05B6511C">
      <w:start w:val="1"/>
      <w:numFmt w:val="bullet"/>
      <w:pStyle w:val="Bullet1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000090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147218DB"/>
    <w:multiLevelType w:val="hybridMultilevel"/>
    <w:tmpl w:val="A47833FE"/>
    <w:lvl w:ilvl="0" w:tplc="EAA09A0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D2044E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E28463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3A8BB5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1AF08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6BEC8A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A5CD17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0DAB7D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4125C4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6277077"/>
    <w:multiLevelType w:val="multilevel"/>
    <w:tmpl w:val="1C98572C"/>
    <w:lvl w:ilvl="0">
      <w:start w:val="1"/>
      <w:numFmt w:val="bullet"/>
      <w:lvlText w:val=""/>
      <w:lvlPicBulletId w:val="0"/>
      <w:lvlJc w:val="left"/>
      <w:pPr>
        <w:tabs>
          <w:tab w:val="num" w:pos="792"/>
        </w:tabs>
        <w:ind w:left="792" w:hanging="576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66C0B2E"/>
    <w:multiLevelType w:val="hybridMultilevel"/>
    <w:tmpl w:val="1C98572C"/>
    <w:lvl w:ilvl="0" w:tplc="8B106238">
      <w:start w:val="1"/>
      <w:numFmt w:val="bullet"/>
      <w:lvlText w:val=""/>
      <w:lvlPicBulletId w:val="0"/>
      <w:lvlJc w:val="left"/>
      <w:pPr>
        <w:tabs>
          <w:tab w:val="num" w:pos="792"/>
        </w:tabs>
        <w:ind w:left="792" w:hanging="576"/>
      </w:pPr>
      <w:rPr>
        <w:rFonts w:ascii="Symbol" w:hAnsi="Symbol" w:hint="default"/>
        <w:color w:val="auto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6B57A1F"/>
    <w:multiLevelType w:val="hybridMultilevel"/>
    <w:tmpl w:val="B704CB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79171AC"/>
    <w:multiLevelType w:val="multilevel"/>
    <w:tmpl w:val="5A2E0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EA2676D"/>
    <w:multiLevelType w:val="hybridMultilevel"/>
    <w:tmpl w:val="2F52C8E2"/>
    <w:lvl w:ilvl="0" w:tplc="90B0EDCE">
      <w:start w:val="1"/>
      <w:numFmt w:val="bullet"/>
      <w:lvlText w:val=""/>
      <w:lvlPicBulletId w:val="1"/>
      <w:lvlJc w:val="left"/>
      <w:pPr>
        <w:tabs>
          <w:tab w:val="num" w:pos="792"/>
        </w:tabs>
        <w:ind w:left="792" w:hanging="576"/>
      </w:pPr>
      <w:rPr>
        <w:rFonts w:ascii="Symbol" w:hAnsi="Symbol" w:hint="default"/>
        <w:color w:val="auto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65079F2"/>
    <w:multiLevelType w:val="multilevel"/>
    <w:tmpl w:val="FB185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6865D6B"/>
    <w:multiLevelType w:val="hybridMultilevel"/>
    <w:tmpl w:val="2BEED544"/>
    <w:lvl w:ilvl="0" w:tplc="335EF1E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138C99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1A4BAE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B5CE70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96EB31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C67F7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5FA643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9F273B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3BC273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D0F0B17"/>
    <w:multiLevelType w:val="hybridMultilevel"/>
    <w:tmpl w:val="3F7ABBBA"/>
    <w:lvl w:ilvl="0" w:tplc="90B0EDCE">
      <w:start w:val="1"/>
      <w:numFmt w:val="bullet"/>
      <w:lvlText w:val=""/>
      <w:lvlPicBulletId w:val="1"/>
      <w:lvlJc w:val="left"/>
      <w:pPr>
        <w:tabs>
          <w:tab w:val="num" w:pos="1008"/>
        </w:tabs>
        <w:ind w:left="1008" w:hanging="576"/>
      </w:pPr>
      <w:rPr>
        <w:rFonts w:ascii="Symbol" w:hAnsi="Symbol" w:hint="default"/>
        <w:color w:val="auto"/>
      </w:rPr>
    </w:lvl>
    <w:lvl w:ilvl="1" w:tplc="00030409">
      <w:start w:val="1"/>
      <w:numFmt w:val="bullet"/>
      <w:lvlText w:val="o"/>
      <w:lvlJc w:val="left"/>
      <w:pPr>
        <w:tabs>
          <w:tab w:val="num" w:pos="1656"/>
        </w:tabs>
        <w:ind w:left="1656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376"/>
        </w:tabs>
        <w:ind w:left="2376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3096"/>
        </w:tabs>
        <w:ind w:left="3096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816"/>
        </w:tabs>
        <w:ind w:left="3816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536"/>
        </w:tabs>
        <w:ind w:left="4536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256"/>
        </w:tabs>
        <w:ind w:left="5256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976"/>
        </w:tabs>
        <w:ind w:left="5976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696"/>
        </w:tabs>
        <w:ind w:left="6696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7"/>
  </w:num>
  <w:num w:numId="4">
    <w:abstractNumId w:val="10"/>
  </w:num>
  <w:num w:numId="5">
    <w:abstractNumId w:val="0"/>
  </w:num>
  <w:num w:numId="6">
    <w:abstractNumId w:val="5"/>
  </w:num>
  <w:num w:numId="7">
    <w:abstractNumId w:val="1"/>
  </w:num>
  <w:num w:numId="8">
    <w:abstractNumId w:val="6"/>
  </w:num>
  <w:num w:numId="9">
    <w:abstractNumId w:val="8"/>
  </w:num>
  <w:num w:numId="10">
    <w:abstractNumId w:val="2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hdrShapeDefaults>
    <o:shapedefaults v:ext="edit" spidmax="20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406348"/>
    <w:rsid w:val="00013B49"/>
    <w:rsid w:val="002562FF"/>
    <w:rsid w:val="0027673A"/>
    <w:rsid w:val="00406348"/>
    <w:rsid w:val="004C24D6"/>
    <w:rsid w:val="004F36F0"/>
    <w:rsid w:val="0057158E"/>
    <w:rsid w:val="005A7B79"/>
    <w:rsid w:val="00821886"/>
    <w:rsid w:val="008D1DA0"/>
    <w:rsid w:val="00A553B4"/>
    <w:rsid w:val="00B2298C"/>
    <w:rsid w:val="00B65152"/>
    <w:rsid w:val="00D92057"/>
    <w:rsid w:val="00FC2009"/>
  </w:rsids>
  <m:mathPr>
    <m:mathFont m:val="Impact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06348"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0745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rsid w:val="0040634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406348"/>
    <w:pPr>
      <w:tabs>
        <w:tab w:val="center" w:pos="4320"/>
        <w:tab w:val="right" w:pos="8640"/>
      </w:tabs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80745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customStyle="1" w:styleId="Bullet1">
    <w:name w:val="Bullet 1"/>
    <w:basedOn w:val="Normal"/>
    <w:rsid w:val="00807455"/>
    <w:pPr>
      <w:numPr>
        <w:numId w:val="7"/>
      </w:numPr>
    </w:pPr>
  </w:style>
  <w:style w:type="paragraph" w:styleId="ListParagraph">
    <w:name w:val="List Paragraph"/>
    <w:basedOn w:val="Normal"/>
    <w:rsid w:val="008E0FFE"/>
    <w:pPr>
      <w:ind w:left="720"/>
      <w:contextualSpacing/>
    </w:pPr>
  </w:style>
  <w:style w:type="character" w:styleId="PageNumber">
    <w:name w:val="page number"/>
    <w:basedOn w:val="DefaultParagraphFont"/>
    <w:rsid w:val="00D32FA0"/>
  </w:style>
  <w:style w:type="character" w:styleId="Hyperlink">
    <w:name w:val="Hyperlink"/>
    <w:basedOn w:val="DefaultParagraphFont"/>
    <w:rsid w:val="009319F6"/>
    <w:rPr>
      <w:color w:val="0000FF" w:themeColor="hyperlink"/>
      <w:u w:val="single"/>
    </w:rPr>
  </w:style>
  <w:style w:type="paragraph" w:customStyle="1" w:styleId="Default">
    <w:name w:val="Default"/>
    <w:rsid w:val="00583C00"/>
    <w:pPr>
      <w:widowControl w:val="0"/>
      <w:autoSpaceDE w:val="0"/>
      <w:autoSpaceDN w:val="0"/>
      <w:adjustRightInd w:val="0"/>
    </w:pPr>
    <w:rPr>
      <w:rFonts w:ascii="New Century Schoolbook" w:eastAsiaTheme="minorEastAsia" w:hAnsi="New Century Schoolbook" w:cs="New Century Schoolbook"/>
      <w:color w:val="000000"/>
    </w:rPr>
  </w:style>
  <w:style w:type="paragraph" w:styleId="BalloonText">
    <w:name w:val="Balloon Text"/>
    <w:basedOn w:val="Normal"/>
    <w:link w:val="BalloonTextChar"/>
    <w:rsid w:val="003C5E8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3C5E8D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rsid w:val="002D3D0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75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82783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18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765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2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58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40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71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74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0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43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3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4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0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8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7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4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73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95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9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4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6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69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60156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761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47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08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8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94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001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140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99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63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8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71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987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94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53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29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14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74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1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10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02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94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00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64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15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9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788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143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6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52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21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18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14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04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38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00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9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23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38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41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91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97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8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11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50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66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7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23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9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6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050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72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664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47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85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452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899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60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044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59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957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88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77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9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1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076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50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05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34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27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16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660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75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93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64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17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58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43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68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22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606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58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5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654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23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574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8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5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9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95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55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21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052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80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039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77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164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99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61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08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021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395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85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27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221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77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36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24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08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621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65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86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58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9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3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42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108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21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09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55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164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75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611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40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319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28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94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0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410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45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3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00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714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530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70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07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13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83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6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3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30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37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273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572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638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20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4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99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478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49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95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30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27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84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76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14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316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60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42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345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847841">
          <w:marLeft w:val="-8"/>
          <w:marRight w:val="-8"/>
          <w:marTop w:val="0"/>
          <w:marBottom w:val="0"/>
          <w:divBdr>
            <w:top w:val="single" w:sz="2" w:space="0" w:color="999999"/>
            <w:left w:val="single" w:sz="2" w:space="0" w:color="999999"/>
            <w:bottom w:val="single" w:sz="2" w:space="0" w:color="999999"/>
            <w:right w:val="single" w:sz="2" w:space="0" w:color="999999"/>
          </w:divBdr>
          <w:divsChild>
            <w:div w:id="1013992131">
              <w:marLeft w:val="101"/>
              <w:marRight w:val="101"/>
              <w:marTop w:val="101"/>
              <w:marBottom w:val="101"/>
              <w:divBdr>
                <w:top w:val="single" w:sz="2" w:space="3" w:color="999999"/>
                <w:left w:val="single" w:sz="2" w:space="3" w:color="999999"/>
                <w:bottom w:val="single" w:sz="2" w:space="3" w:color="999999"/>
                <w:right w:val="single" w:sz="2" w:space="3" w:color="999999"/>
              </w:divBdr>
            </w:div>
          </w:divsChild>
        </w:div>
        <w:div w:id="121242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94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81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159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996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659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63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427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01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802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8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19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52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94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96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79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02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2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3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45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27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054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79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35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78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94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98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065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68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4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22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06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86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09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09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61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962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80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21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57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9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848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39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245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02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94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02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99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77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70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44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41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15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64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94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47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58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50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20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29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33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065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67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706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50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58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6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54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4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110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513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83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14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74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36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6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62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42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89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83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410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66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47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208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92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8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854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82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36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159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95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58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0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391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88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9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7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72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75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05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39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48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86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3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35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39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18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450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875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1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21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7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21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5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52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31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81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76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79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40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97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16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95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907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8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21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36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73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03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53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0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03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34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16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958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221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49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13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552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79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03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48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58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61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17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49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719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79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34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5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44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103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46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5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21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87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81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9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976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0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8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00007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72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0172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30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2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156671">
          <w:marLeft w:val="-15"/>
          <w:marRight w:val="-15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884125586">
              <w:marLeft w:val="180"/>
              <w:marRight w:val="180"/>
              <w:marTop w:val="180"/>
              <w:marBottom w:val="180"/>
              <w:divBdr>
                <w:top w:val="single" w:sz="6" w:space="6" w:color="999999"/>
                <w:left w:val="single" w:sz="6" w:space="6" w:color="999999"/>
                <w:bottom w:val="single" w:sz="6" w:space="6" w:color="999999"/>
                <w:right w:val="single" w:sz="6" w:space="6" w:color="999999"/>
              </w:divBdr>
            </w:div>
          </w:divsChild>
        </w:div>
        <w:div w:id="13042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22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47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18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21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291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14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95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0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31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58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27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4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97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77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37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11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75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5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12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34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696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108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7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78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85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46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421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05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84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11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23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37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8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39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1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68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33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349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59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86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69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59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3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66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84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53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95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95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776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28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10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37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915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81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0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99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69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35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241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41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94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14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78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67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557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50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47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782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77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9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20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36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4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99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05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242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0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264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78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18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31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63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48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2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55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9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177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0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49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801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373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01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78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38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8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26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08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69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76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72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44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88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39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33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6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93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897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1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56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2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17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29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06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46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52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207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4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6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14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68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46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1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371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892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78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81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98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99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75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56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54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39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90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44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252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10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386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30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01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58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9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338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9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24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26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561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110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50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4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13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98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87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865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172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350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6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97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24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431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978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34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40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5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254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29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9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145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53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19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12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12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94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92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15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03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36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43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32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862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686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9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427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39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9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16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75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620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95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81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50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26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11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275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63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6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03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09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847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19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36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87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71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91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77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60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8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315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66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54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52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68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154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33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47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876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57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819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71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12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83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69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574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19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168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83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50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70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32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05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18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16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45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09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849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79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40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7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75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29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46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169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810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60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65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44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8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932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53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1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903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607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91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61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4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02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47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83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116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17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91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79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84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674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92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975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965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21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48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90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637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08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79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672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49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580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068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57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146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33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9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03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82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64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89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74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54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7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5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0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293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12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52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40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397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04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87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6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2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670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35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68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48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71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733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04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43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7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67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78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56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59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28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0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002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24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5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1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9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4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2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49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5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9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9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2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1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53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86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36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8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99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4" Type="http://schemas.openxmlformats.org/officeDocument/2006/relationships/header" Target="header2.xml"/><Relationship Id="rId4" Type="http://schemas.openxmlformats.org/officeDocument/2006/relationships/webSettings" Target="webSettings.xml"/><Relationship Id="rId7" Type="http://schemas.openxmlformats.org/officeDocument/2006/relationships/image" Target="media/image3.jpeg"/><Relationship Id="rId11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6" Type="http://schemas.openxmlformats.org/officeDocument/2006/relationships/theme" Target="theme/theme1.xml"/><Relationship Id="rId8" Type="http://schemas.openxmlformats.org/officeDocument/2006/relationships/chart" Target="charts/chart1.xml"/><Relationship Id="rId13" Type="http://schemas.openxmlformats.org/officeDocument/2006/relationships/footer" Target="footer1.xml"/><Relationship Id="rId10" Type="http://schemas.openxmlformats.org/officeDocument/2006/relationships/image" Target="media/image4.pd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9" Type="http://schemas.openxmlformats.org/officeDocument/2006/relationships/chart" Target="charts/chart2.xml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Macintosh%20HD:Users:andysklawer:Documents:Acorn:Product%20Info%20and%20Research:T-Fusion%20-%20G-CSF:TF-G-CSF%20Diagrams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Macintosh%20HD:Users:andysklawer:Documents:Acorn:Product%20Info%20and%20Research:T-Fusion%20-%20G-CSF:TF-G-CSF%20Diagrams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2"/>
  <c:chart>
    <c:plotArea>
      <c:layout>
        <c:manualLayout>
          <c:layoutTarget val="inner"/>
          <c:xMode val="edge"/>
          <c:yMode val="edge"/>
          <c:x val="0.179303368328959"/>
          <c:y val="0.0509259259259259"/>
          <c:w val="0.750986876640422"/>
          <c:h val="0.781130431612715"/>
        </c:manualLayout>
      </c:layout>
      <c:lineChart>
        <c:grouping val="standard"/>
        <c:ser>
          <c:idx val="0"/>
          <c:order val="0"/>
          <c:tx>
            <c:strRef>
              <c:f>'Figure 10'!$B$3</c:f>
              <c:strCache>
                <c:ptCount val="1"/>
                <c:pt idx="0">
                  <c:v>ACN-8337</c:v>
                </c:pt>
              </c:strCache>
            </c:strRef>
          </c:tx>
          <c:errBars>
            <c:errDir val="y"/>
            <c:errBarType val="both"/>
            <c:errValType val="cust"/>
            <c:plus>
              <c:numRef>
                <c:f>'Figure 10'!$F$4:$F$7</c:f>
                <c:numCache>
                  <c:formatCode>General</c:formatCode>
                  <c:ptCount val="4"/>
                  <c:pt idx="1">
                    <c:v>200.0</c:v>
                  </c:pt>
                  <c:pt idx="2">
                    <c:v>150.0</c:v>
                  </c:pt>
                  <c:pt idx="3">
                    <c:v>50.0</c:v>
                  </c:pt>
                </c:numCache>
              </c:numRef>
            </c:plus>
            <c:minus>
              <c:numRef>
                <c:f>'Figure 10'!$F$4:$F$7</c:f>
                <c:numCache>
                  <c:formatCode>General</c:formatCode>
                  <c:ptCount val="4"/>
                  <c:pt idx="1">
                    <c:v>200.0</c:v>
                  </c:pt>
                  <c:pt idx="2">
                    <c:v>150.0</c:v>
                  </c:pt>
                  <c:pt idx="3">
                    <c:v>50.0</c:v>
                  </c:pt>
                </c:numCache>
              </c:numRef>
            </c:minus>
          </c:errBars>
          <c:cat>
            <c:numRef>
              <c:f>'Figure 10'!$A$4:$A$7</c:f>
              <c:numCache>
                <c:formatCode>General</c:formatCode>
                <c:ptCount val="4"/>
                <c:pt idx="0">
                  <c:v>0.0</c:v>
                </c:pt>
                <c:pt idx="1">
                  <c:v>1.0</c:v>
                </c:pt>
                <c:pt idx="2">
                  <c:v>2.0</c:v>
                </c:pt>
                <c:pt idx="3">
                  <c:v>3.0</c:v>
                </c:pt>
              </c:numCache>
            </c:numRef>
          </c:cat>
          <c:val>
            <c:numRef>
              <c:f>'Figure 10'!$B$4:$B$7</c:f>
              <c:numCache>
                <c:formatCode>General</c:formatCode>
                <c:ptCount val="4"/>
                <c:pt idx="0">
                  <c:v>1050.0</c:v>
                </c:pt>
                <c:pt idx="1">
                  <c:v>1500.0</c:v>
                </c:pt>
                <c:pt idx="2">
                  <c:v>2500.0</c:v>
                </c:pt>
                <c:pt idx="3">
                  <c:v>1000.0</c:v>
                </c:pt>
              </c:numCache>
            </c:numRef>
          </c:val>
          <c:smooth val="1"/>
        </c:ser>
        <c:ser>
          <c:idx val="1"/>
          <c:order val="1"/>
          <c:tx>
            <c:strRef>
              <c:f>'Figure 10'!$C$3</c:f>
              <c:strCache>
                <c:ptCount val="1"/>
                <c:pt idx="0">
                  <c:v>Neupogen® </c:v>
                </c:pt>
              </c:strCache>
            </c:strRef>
          </c:tx>
          <c:errBars>
            <c:errDir val="y"/>
            <c:errBarType val="both"/>
            <c:errValType val="cust"/>
            <c:plus>
              <c:numRef>
                <c:f>'Figure 10'!$E$4:$E$7</c:f>
                <c:numCache>
                  <c:formatCode>General</c:formatCode>
                  <c:ptCount val="4"/>
                  <c:pt idx="1">
                    <c:v>200.0</c:v>
                  </c:pt>
                  <c:pt idx="2">
                    <c:v>250.0</c:v>
                  </c:pt>
                  <c:pt idx="3">
                    <c:v>100.0</c:v>
                  </c:pt>
                </c:numCache>
              </c:numRef>
            </c:plus>
            <c:minus>
              <c:numRef>
                <c:f>'Figure 10'!$E$4:$E$7</c:f>
                <c:numCache>
                  <c:formatCode>General</c:formatCode>
                  <c:ptCount val="4"/>
                  <c:pt idx="1">
                    <c:v>200.0</c:v>
                  </c:pt>
                  <c:pt idx="2">
                    <c:v>250.0</c:v>
                  </c:pt>
                  <c:pt idx="3">
                    <c:v>100.0</c:v>
                  </c:pt>
                </c:numCache>
              </c:numRef>
            </c:minus>
          </c:errBars>
          <c:cat>
            <c:numRef>
              <c:f>'Figure 10'!$A$4:$A$7</c:f>
              <c:numCache>
                <c:formatCode>General</c:formatCode>
                <c:ptCount val="4"/>
                <c:pt idx="0">
                  <c:v>0.0</c:v>
                </c:pt>
                <c:pt idx="1">
                  <c:v>1.0</c:v>
                </c:pt>
                <c:pt idx="2">
                  <c:v>2.0</c:v>
                </c:pt>
                <c:pt idx="3">
                  <c:v>3.0</c:v>
                </c:pt>
              </c:numCache>
            </c:numRef>
          </c:cat>
          <c:val>
            <c:numRef>
              <c:f>'Figure 10'!$C$4:$C$7</c:f>
              <c:numCache>
                <c:formatCode>General</c:formatCode>
                <c:ptCount val="4"/>
                <c:pt idx="0">
                  <c:v>900.0</c:v>
                </c:pt>
                <c:pt idx="1">
                  <c:v>800.0</c:v>
                </c:pt>
                <c:pt idx="2">
                  <c:v>750.0</c:v>
                </c:pt>
                <c:pt idx="3">
                  <c:v>1150.0</c:v>
                </c:pt>
              </c:numCache>
            </c:numRef>
          </c:val>
          <c:smooth val="1"/>
        </c:ser>
        <c:ser>
          <c:idx val="2"/>
          <c:order val="2"/>
          <c:tx>
            <c:strRef>
              <c:f>'Figure 10'!$D$3</c:f>
              <c:strCache>
                <c:ptCount val="1"/>
                <c:pt idx="0">
                  <c:v>Control</c:v>
                </c:pt>
              </c:strCache>
            </c:strRef>
          </c:tx>
          <c:errBars>
            <c:errDir val="y"/>
            <c:errBarType val="both"/>
            <c:errValType val="cust"/>
            <c:plus>
              <c:numRef>
                <c:f>'Figure 10'!$G$4:$G$7</c:f>
                <c:numCache>
                  <c:formatCode>General</c:formatCode>
                  <c:ptCount val="4"/>
                  <c:pt idx="0">
                    <c:v>100.0</c:v>
                  </c:pt>
                  <c:pt idx="1">
                    <c:v>200.0</c:v>
                  </c:pt>
                  <c:pt idx="2">
                    <c:v>250.0</c:v>
                  </c:pt>
                </c:numCache>
              </c:numRef>
            </c:plus>
            <c:minus>
              <c:numRef>
                <c:f>'Figure 10'!$G$4:$G$7</c:f>
                <c:numCache>
                  <c:formatCode>General</c:formatCode>
                  <c:ptCount val="4"/>
                  <c:pt idx="0">
                    <c:v>100.0</c:v>
                  </c:pt>
                  <c:pt idx="1">
                    <c:v>200.0</c:v>
                  </c:pt>
                  <c:pt idx="2">
                    <c:v>250.0</c:v>
                  </c:pt>
                </c:numCache>
              </c:numRef>
            </c:minus>
          </c:errBars>
          <c:cat>
            <c:numRef>
              <c:f>'Figure 10'!$A$4:$A$7</c:f>
              <c:numCache>
                <c:formatCode>General</c:formatCode>
                <c:ptCount val="4"/>
                <c:pt idx="0">
                  <c:v>0.0</c:v>
                </c:pt>
                <c:pt idx="1">
                  <c:v>1.0</c:v>
                </c:pt>
                <c:pt idx="2">
                  <c:v>2.0</c:v>
                </c:pt>
                <c:pt idx="3">
                  <c:v>3.0</c:v>
                </c:pt>
              </c:numCache>
            </c:numRef>
          </c:cat>
          <c:val>
            <c:numRef>
              <c:f>'Figure 10'!$D$4:$D$7</c:f>
              <c:numCache>
                <c:formatCode>General</c:formatCode>
                <c:ptCount val="4"/>
                <c:pt idx="0">
                  <c:v>800.0</c:v>
                </c:pt>
                <c:pt idx="1">
                  <c:v>1050.0</c:v>
                </c:pt>
                <c:pt idx="2">
                  <c:v>1050.0</c:v>
                </c:pt>
                <c:pt idx="3">
                  <c:v>900.0</c:v>
                </c:pt>
              </c:numCache>
            </c:numRef>
          </c:val>
          <c:smooth val="1"/>
        </c:ser>
        <c:marker val="1"/>
        <c:axId val="779043560"/>
        <c:axId val="779035448"/>
      </c:lineChart>
      <c:catAx>
        <c:axId val="779043560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Time (days)</a:t>
                </a:r>
              </a:p>
            </c:rich>
          </c:tx>
          <c:layout>
            <c:manualLayout>
              <c:xMode val="edge"/>
              <c:yMode val="edge"/>
              <c:x val="0.47955271216098"/>
              <c:y val="0.907407407407407"/>
            </c:manualLayout>
          </c:layout>
        </c:title>
        <c:numFmt formatCode="General" sourceLinked="1"/>
        <c:tickLblPos val="nextTo"/>
        <c:crossAx val="779035448"/>
        <c:crosses val="autoZero"/>
        <c:auto val="1"/>
        <c:lblAlgn val="ctr"/>
        <c:lblOffset val="100"/>
        <c:tickLblSkip val="1"/>
        <c:tickMarkSkip val="1"/>
      </c:catAx>
      <c:valAx>
        <c:axId val="779035448"/>
        <c:scaling>
          <c:orientation val="minMax"/>
        </c:scaling>
        <c:axPos val="l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ANC (cells/uL)</a:t>
                </a:r>
              </a:p>
            </c:rich>
          </c:tx>
          <c:layout/>
        </c:title>
        <c:numFmt formatCode="General" sourceLinked="1"/>
        <c:tickLblPos val="nextTo"/>
        <c:crossAx val="779043560"/>
        <c:crosses val="autoZero"/>
        <c:crossBetween val="midCat"/>
      </c:valAx>
      <c:spPr>
        <a:solidFill>
          <a:schemeClr val="accent1">
            <a:lumMod val="20000"/>
            <a:lumOff val="80000"/>
            <a:alpha val="0"/>
          </a:schemeClr>
        </a:solidFill>
        <a:ln w="9525" cap="flat" cmpd="sng" algn="ctr">
          <a:noFill/>
          <a:prstDash val="solid"/>
        </a:ln>
        <a:effectLst/>
      </c:spPr>
    </c:plotArea>
    <c:legend>
      <c:legendPos val="r"/>
      <c:layout>
        <c:manualLayout>
          <c:xMode val="edge"/>
          <c:yMode val="edge"/>
          <c:x val="0.210015310586177"/>
          <c:y val="0.0596092155147273"/>
          <c:w val="0.251095800524934"/>
          <c:h val="0.172447871099446"/>
        </c:manualLayout>
      </c:layout>
    </c:legend>
    <c:plotVisOnly val="1"/>
  </c:chart>
  <c:spPr>
    <a:gradFill rotWithShape="1">
      <a:gsLst>
        <a:gs pos="0">
          <a:schemeClr val="accent1">
            <a:tint val="50000"/>
            <a:satMod val="300000"/>
          </a:schemeClr>
        </a:gs>
        <a:gs pos="35000">
          <a:schemeClr val="accent1">
            <a:tint val="37000"/>
            <a:satMod val="300000"/>
          </a:schemeClr>
        </a:gs>
        <a:gs pos="100000">
          <a:schemeClr val="accent1">
            <a:tint val="15000"/>
            <a:satMod val="350000"/>
          </a:schemeClr>
        </a:gs>
      </a:gsLst>
      <a:lin ang="16200000" scaled="1"/>
    </a:gradFill>
    <a:ln w="9525" cap="flat" cmpd="sng" algn="ctr">
      <a:noFill/>
      <a:prstDash val="solid"/>
    </a:ln>
    <a:effectLst>
      <a:outerShdw blurRad="40000" dist="20000" dir="5400000" rotWithShape="0">
        <a:srgbClr val="000000">
          <a:alpha val="38000"/>
        </a:srgbClr>
      </a:outerShdw>
    </a:effectLst>
    <a:scene3d>
      <a:camera prst="orthographicFront"/>
      <a:lightRig rig="threePt" dir="t"/>
    </a:scene3d>
    <a:sp3d>
      <a:bevelT w="165100" prst="coolSlant"/>
      <a:bevelB w="165100" prst="coolSlant"/>
    </a:sp3d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n-US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18"/>
  <c:chart>
    <c:view3D>
      <c:rAngAx val="1"/>
    </c:view3D>
    <c:plotArea>
      <c:layout>
        <c:manualLayout>
          <c:layoutTarget val="inner"/>
          <c:xMode val="edge"/>
          <c:yMode val="edge"/>
          <c:x val="0.160526542014316"/>
          <c:y val="0.0589415664195931"/>
          <c:w val="0.805062650085436"/>
          <c:h val="0.704399395142235"/>
        </c:manualLayout>
      </c:layout>
      <c:bar3DChart>
        <c:barDir val="col"/>
        <c:grouping val="clustered"/>
        <c:ser>
          <c:idx val="0"/>
          <c:order val="0"/>
          <c:dPt>
            <c:idx val="1"/>
            <c:spPr>
              <a:gradFill rotWithShape="1">
                <a:gsLst>
                  <a:gs pos="0">
                    <a:schemeClr val="accent3">
                      <a:tint val="50000"/>
                      <a:satMod val="300000"/>
                    </a:schemeClr>
                  </a:gs>
                  <a:gs pos="35000">
                    <a:schemeClr val="accent3">
                      <a:tint val="37000"/>
                      <a:satMod val="300000"/>
                    </a:schemeClr>
                  </a:gs>
                  <a:gs pos="100000">
                    <a:schemeClr val="accent3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3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2"/>
            <c:spPr>
              <a:gradFill rotWithShape="1">
                <a:gsLst>
                  <a:gs pos="0">
                    <a:schemeClr val="accent2">
                      <a:tint val="100000"/>
                      <a:shade val="100000"/>
                      <a:satMod val="130000"/>
                    </a:schemeClr>
                  </a:gs>
                  <a:gs pos="100000">
                    <a:schemeClr val="accent2">
                      <a:tint val="50000"/>
                      <a:shade val="100000"/>
                      <a:satMod val="350000"/>
                    </a:schemeClr>
                  </a:gs>
                </a:gsLst>
                <a:lin ang="16200000" scaled="0"/>
              </a:gradFill>
              <a:ln w="9525" cap="flat" cmpd="sng" algn="ctr">
                <a:solidFill>
                  <a:schemeClr val="accent2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</c:dPt>
          <c:cat>
            <c:strRef>
              <c:f>'Peak ANC'!$B$2:$D$2</c:f>
              <c:strCache>
                <c:ptCount val="3"/>
                <c:pt idx="0">
                  <c:v>Injected Neupogen® </c:v>
                </c:pt>
                <c:pt idx="1">
                  <c:v>Oral Neupogen® </c:v>
                </c:pt>
                <c:pt idx="2">
                  <c:v>Oral       ACN-8337</c:v>
                </c:pt>
              </c:strCache>
            </c:strRef>
          </c:cat>
          <c:val>
            <c:numRef>
              <c:f>'Peak ANC'!$B$3:$D$3</c:f>
              <c:numCache>
                <c:formatCode>General</c:formatCode>
                <c:ptCount val="3"/>
                <c:pt idx="0">
                  <c:v>3100.0</c:v>
                </c:pt>
                <c:pt idx="1">
                  <c:v>750.0</c:v>
                </c:pt>
                <c:pt idx="2">
                  <c:v>2500.0</c:v>
                </c:pt>
              </c:numCache>
            </c:numRef>
          </c:val>
        </c:ser>
        <c:shape val="box"/>
        <c:axId val="784418264"/>
        <c:axId val="784421224"/>
        <c:axId val="0"/>
      </c:bar3DChart>
      <c:catAx>
        <c:axId val="784418264"/>
        <c:scaling>
          <c:orientation val="minMax"/>
        </c:scaling>
        <c:axPos val="b"/>
        <c:tickLblPos val="nextTo"/>
        <c:crossAx val="784421224"/>
        <c:crosses val="autoZero"/>
        <c:auto val="1"/>
        <c:lblAlgn val="ctr"/>
        <c:lblOffset val="100"/>
      </c:catAx>
      <c:valAx>
        <c:axId val="784421224"/>
        <c:scaling>
          <c:orientation val="minMax"/>
        </c:scaling>
        <c:axPos val="l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Peak ANC (cells/uL)</a:t>
                </a:r>
              </a:p>
            </c:rich>
          </c:tx>
          <c:layout>
            <c:manualLayout>
              <c:xMode val="edge"/>
              <c:yMode val="edge"/>
              <c:x val="0.00514881258080813"/>
              <c:y val="0.199022084734092"/>
            </c:manualLayout>
          </c:layout>
        </c:title>
        <c:numFmt formatCode="General" sourceLinked="1"/>
        <c:tickLblPos val="nextTo"/>
        <c:crossAx val="784418264"/>
        <c:crosses val="autoZero"/>
        <c:crossBetween val="between"/>
      </c:valAx>
    </c:plotArea>
    <c:plotVisOnly val="1"/>
  </c:chart>
  <c:spPr>
    <a:gradFill rotWithShape="1">
      <a:gsLst>
        <a:gs pos="0">
          <a:schemeClr val="accent1">
            <a:tint val="50000"/>
            <a:satMod val="300000"/>
          </a:schemeClr>
        </a:gs>
        <a:gs pos="35000">
          <a:schemeClr val="accent1">
            <a:tint val="37000"/>
            <a:satMod val="300000"/>
          </a:schemeClr>
        </a:gs>
        <a:gs pos="100000">
          <a:schemeClr val="accent1">
            <a:tint val="15000"/>
            <a:satMod val="350000"/>
          </a:schemeClr>
        </a:gs>
      </a:gsLst>
      <a:lin ang="16200000" scaled="1"/>
    </a:gradFill>
    <a:ln w="9525" cap="flat" cmpd="sng" algn="ctr">
      <a:noFill/>
      <a:prstDash val="solid"/>
    </a:ln>
    <a:effectLst>
      <a:outerShdw blurRad="40000" dist="20000" dir="5400000" rotWithShape="0">
        <a:srgbClr val="000000">
          <a:alpha val="38000"/>
        </a:srgbClr>
      </a:outerShdw>
    </a:effectLst>
    <a:scene3d>
      <a:camera prst="orthographicFront"/>
      <a:lightRig rig="threePt" dir="t"/>
    </a:scene3d>
    <a:sp3d>
      <a:bevelT w="165100" prst="coolSlant"/>
      <a:bevelB w="165100" prst="coolSlant"/>
    </a:sp3d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n-US"/>
    </a:p>
  </c:txPr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670</Words>
  <Characters>3820</Characters>
  <Application>Microsoft Macintosh Word</Application>
  <DocSecurity>0</DocSecurity>
  <Lines>31</Lines>
  <Paragraphs>7</Paragraphs>
  <ScaleCrop>false</ScaleCrop>
  <Company>Acorn Biomedical, Inc.</Company>
  <LinksUpToDate>false</LinksUpToDate>
  <CharactersWithSpaces>4691</CharactersWithSpaces>
  <SharedDoc>false</SharedDoc>
  <HLinks>
    <vt:vector size="36" baseType="variant">
      <vt:variant>
        <vt:i4>6029317</vt:i4>
      </vt:variant>
      <vt:variant>
        <vt:i4>3198</vt:i4>
      </vt:variant>
      <vt:variant>
        <vt:i4>1029</vt:i4>
      </vt:variant>
      <vt:variant>
        <vt:i4>1</vt:i4>
      </vt:variant>
      <vt:variant>
        <vt:lpwstr>acorn_bullet_blueedge3</vt:lpwstr>
      </vt:variant>
      <vt:variant>
        <vt:lpwstr/>
      </vt:variant>
      <vt:variant>
        <vt:i4>6291473</vt:i4>
      </vt:variant>
      <vt:variant>
        <vt:i4>3199</vt:i4>
      </vt:variant>
      <vt:variant>
        <vt:i4>1028</vt:i4>
      </vt:variant>
      <vt:variant>
        <vt:i4>1</vt:i4>
      </vt:variant>
      <vt:variant>
        <vt:lpwstr>acorn</vt:lpwstr>
      </vt:variant>
      <vt:variant>
        <vt:lpwstr/>
      </vt:variant>
      <vt:variant>
        <vt:i4>917545</vt:i4>
      </vt:variant>
      <vt:variant>
        <vt:i4>3209</vt:i4>
      </vt:variant>
      <vt:variant>
        <vt:i4>1027</vt:i4>
      </vt:variant>
      <vt:variant>
        <vt:i4>1</vt:i4>
      </vt:variant>
      <vt:variant>
        <vt:lpwstr>toP_full</vt:lpwstr>
      </vt:variant>
      <vt:variant>
        <vt:lpwstr/>
      </vt:variant>
      <vt:variant>
        <vt:i4>7077993</vt:i4>
      </vt:variant>
      <vt:variant>
        <vt:i4>3246</vt:i4>
      </vt:variant>
      <vt:variant>
        <vt:i4>1025</vt:i4>
      </vt:variant>
      <vt:variant>
        <vt:i4>1</vt:i4>
      </vt:variant>
      <vt:variant>
        <vt:lpwstr>footer</vt:lpwstr>
      </vt:variant>
      <vt:variant>
        <vt:lpwstr/>
      </vt:variant>
      <vt:variant>
        <vt:i4>262255</vt:i4>
      </vt:variant>
      <vt:variant>
        <vt:i4>3249</vt:i4>
      </vt:variant>
      <vt:variant>
        <vt:i4>1026</vt:i4>
      </vt:variant>
      <vt:variant>
        <vt:i4>1</vt:i4>
      </vt:variant>
      <vt:variant>
        <vt:lpwstr>top</vt:lpwstr>
      </vt:variant>
      <vt:variant>
        <vt:lpwstr/>
      </vt:variant>
      <vt:variant>
        <vt:i4>3932201</vt:i4>
      </vt:variant>
      <vt:variant>
        <vt:i4>6180</vt:i4>
      </vt:variant>
      <vt:variant>
        <vt:i4>1033</vt:i4>
      </vt:variant>
      <vt:variant>
        <vt:i4>1</vt:i4>
      </vt:variant>
      <vt:variant>
        <vt:lpwstr>top_full2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Simpson Homer</dc:creator>
  <cp:keywords/>
  <cp:lastModifiedBy>Andy Sklawer</cp:lastModifiedBy>
  <cp:revision>2</cp:revision>
  <cp:lastPrinted>2008-12-16T22:34:00Z</cp:lastPrinted>
  <dcterms:created xsi:type="dcterms:W3CDTF">2008-12-16T22:59:00Z</dcterms:created>
  <dcterms:modified xsi:type="dcterms:W3CDTF">2008-12-16T22:59:00Z</dcterms:modified>
</cp:coreProperties>
</file>